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拟审批的建设项目</w:t>
      </w:r>
      <w:r>
        <w:rPr>
          <w:rFonts w:hint="eastAsia"/>
          <w:sz w:val="24"/>
          <w:szCs w:val="24"/>
          <w:lang w:val="en-US" w:eastAsia="zh-CN"/>
        </w:rPr>
        <w:t>污染防治措施（</w:t>
      </w:r>
      <w:r>
        <w:rPr>
          <w:sz w:val="24"/>
          <w:szCs w:val="24"/>
        </w:rPr>
        <w:t>环境影响报告表</w:t>
      </w:r>
      <w:r>
        <w:rPr>
          <w:rFonts w:hint="eastAsia"/>
          <w:sz w:val="24"/>
          <w:szCs w:val="24"/>
          <w:lang w:val="en-US" w:eastAsia="zh-CN"/>
        </w:rPr>
        <w:t>内容）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00"/>
        <w:gridCol w:w="636"/>
        <w:gridCol w:w="557"/>
        <w:gridCol w:w="991"/>
        <w:gridCol w:w="2969"/>
        <w:gridCol w:w="695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环境影响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评价机构</w:t>
            </w:r>
          </w:p>
        </w:tc>
        <w:tc>
          <w:tcPr>
            <w:tcW w:w="29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建设项目概况</w:t>
            </w:r>
          </w:p>
        </w:tc>
        <w:tc>
          <w:tcPr>
            <w:tcW w:w="69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主要环境影响及预防减轻不良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环境影响的对策和措施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color w:val="262626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河南金涛建筑材料有限公司年产20万立方米高标路桥专用水泥稳定土项目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商丘市民权县龙塘镇郑寨村209号</w:t>
            </w:r>
          </w:p>
        </w:tc>
        <w:tc>
          <w:tcPr>
            <w:tcW w:w="5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河南金涛建筑材料有限公司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河南省昊德环保科技有限公司</w:t>
            </w:r>
          </w:p>
        </w:tc>
        <w:tc>
          <w:tcPr>
            <w:tcW w:w="29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本项目为新建，占地面积为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sz w:val="21"/>
                <w:szCs w:val="21"/>
              </w:rPr>
              <w:t>平方米，总投资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000万元。</w:t>
            </w:r>
            <w:r>
              <w:rPr>
                <w:rFonts w:hint="eastAsia"/>
                <w:sz w:val="21"/>
                <w:szCs w:val="21"/>
                <w:lang w:eastAsia="zh-CN"/>
              </w:rPr>
              <w:t>主要生产工艺为</w:t>
            </w:r>
            <w:r>
              <w:rPr>
                <w:rFonts w:hint="eastAsia"/>
                <w:sz w:val="21"/>
                <w:szCs w:val="21"/>
              </w:rPr>
              <w:t>外购原材料（建筑垃圾、水泥等）、破碎、筛分、沙石复洗、搅拌、成品。主要生产设备有皮带输送机、破碎机、振动筛、搅拌机等</w:t>
            </w:r>
          </w:p>
        </w:tc>
        <w:tc>
          <w:tcPr>
            <w:tcW w:w="6955" w:type="dxa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项目施工期对周围环境影响较小，且施工周期较短，随着施工期的结束，施工影响也随之消失，因此不再进行施工期影响分析。</w:t>
            </w:r>
          </w:p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1、废水。项目生产废水不外排，职工生活废水经厂区化粪池处理后由周边村民外运肥田。</w:t>
            </w:r>
          </w:p>
          <w:p>
            <w:pPr>
              <w:pStyle w:val="2"/>
              <w:spacing w:before="0" w:after="0"/>
              <w:ind w:left="0" w:firstLine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b w:val="0"/>
                <w:kern w:val="2"/>
                <w:sz w:val="21"/>
                <w:szCs w:val="21"/>
              </w:rPr>
              <w:t>2、废气。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骨料装卸粉尘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石料堆存过程中会产生少量扬尘，项目建设全密闭原料库，原料库上方设置喷雾装置，对砂石料进行洒水降尘后，以无组织形式排放。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破碎粉尘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破碎机二次封闭后，在破碎机上方设集气管道，粉尘经收集后，</w:t>
            </w:r>
            <w:r>
              <w:rPr>
                <w:rFonts w:hint="eastAsia"/>
                <w:sz w:val="21"/>
                <w:szCs w:val="21"/>
                <w:lang w:eastAsia="zh-CN"/>
              </w:rPr>
              <w:t>经袋式除尘器处理，</w:t>
            </w:r>
            <w:r>
              <w:rPr>
                <w:rFonts w:hint="eastAsia"/>
                <w:sz w:val="21"/>
                <w:szCs w:val="21"/>
              </w:rPr>
              <w:t>由15m高排气筒排放，能够满足《水泥工业大气污染物排放标准》（DB41/1953-2020）表1水泥仓及其他通风生产设备颗粒物有组织最高允许排放浓度10mg/m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的要求。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水泥入仓粉尘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经仓顶脉冲袋式除尘器处理后，该部分粉尘通过管道将废气引出与破碎工序共用袋式除尘器处理，后由15m高排气筒排放，能够满足《水泥工业大气污染物排放标准》（DB41/1953-2020）表1水泥仓及其他通风生产设备颗粒物有组织最高允许排放浓度10mg/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的要求。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铲车卸料粉尘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项目铲车卸料粉尘经半封闭式集气罩收集后，通过袋式除尘器处理，由15m高排气筒排放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能够满足《水泥工业大气污染物排放标准》（DB41/1953-2020）表1水泥仓及其他通风生产设备颗粒物有组织最高允许排放浓度10mg/m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的要求。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搅拌机进料粉尘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搅拌机落料口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与皮带输送机廊道进行密闭连接，落料口上方设集气管道，进料粉尘经收集后通过袋式除尘器进行处理，由15m高排气筒排放。能够满足《水泥工业大气污染物排放标准》（DB41/1953-2020）表1水泥仓及其他通风生产设备颗粒物有组织最高允许排放浓度10mg/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的要求。</w:t>
            </w:r>
          </w:p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3、噪声。本项目噪声主要来源于破碎机、振动筛、搅拌机、风机等生产设备运行过程所产生的机械噪声，其声级值为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 w:val="21"/>
                <w:szCs w:val="21"/>
              </w:rPr>
              <w:t>0~90dB(A)，经采取基础减振、厂房隔声等降噪措施，项目各厂界噪声贡献值均能满足《工业企业厂界环境噪声排放标准》（GB12348-2008）2类标准要求；敏感点噪声预测值均能满足《声环境质量标准》（GB3096-2008）2类标准要求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、固废。项目固废主要包括除尘器收集的粉尘、沙石复洗泥沙、沉淀池沉渣和生活垃圾等。除尘器收集的粉尘，集中收集，回用于生产；沙石复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洗</w:t>
            </w:r>
            <w:r>
              <w:rPr>
                <w:rFonts w:hint="eastAsia"/>
                <w:bCs/>
                <w:sz w:val="21"/>
                <w:szCs w:val="21"/>
              </w:rPr>
              <w:t>泥沙，经压滤机压滤后，外售进行综合利用沉淀池沉渣，集中收集后，交由环卫部门处置；职工生活垃圾，集中收集后由环卫部门处置。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spacing w:line="700" w:lineRule="exact"/>
        <w:ind w:firstLine="1920" w:firstLineChars="800"/>
        <w:jc w:val="both"/>
        <w:rPr>
          <w:sz w:val="24"/>
          <w:szCs w:val="24"/>
        </w:rPr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3AB2"/>
    <w:rsid w:val="0478266E"/>
    <w:rsid w:val="1261530C"/>
    <w:rsid w:val="276F083D"/>
    <w:rsid w:val="506A6A3F"/>
    <w:rsid w:val="6D6A3AB2"/>
    <w:rsid w:val="73BD1D88"/>
    <w:rsid w:val="74520AFE"/>
    <w:rsid w:val="79C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宋体" w:hAnsi="宋体"/>
      <w:sz w:val="24"/>
    </w:rPr>
  </w:style>
  <w:style w:type="paragraph" w:styleId="4">
    <w:name w:val="Block Text"/>
    <w:basedOn w:val="1"/>
    <w:next w:val="1"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1"/>
    <w:next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2020-08-19T07:06:00Z</dcterms:created>
  <dc:creator>南是故乡</dc:creator>
  <cp:lastModifiedBy>南是故乡</cp:lastModifiedBy>
  <dcterms:modified xsi:type="dcterms:W3CDTF">2020-11-09T08:10:09Z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