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sz w:val="24"/>
          <w:szCs w:val="24"/>
        </w:rPr>
      </w:pPr>
      <w:r>
        <w:rPr>
          <w:sz w:val="24"/>
          <w:szCs w:val="24"/>
        </w:rPr>
        <w:t>拟审批的建设项目</w:t>
      </w:r>
      <w:r>
        <w:rPr>
          <w:rFonts w:hint="eastAsia"/>
          <w:sz w:val="24"/>
          <w:szCs w:val="24"/>
          <w:lang w:val="en-US" w:eastAsia="zh-CN"/>
        </w:rPr>
        <w:t>污染防治措施（</w:t>
      </w:r>
      <w:r>
        <w:rPr>
          <w:sz w:val="24"/>
          <w:szCs w:val="24"/>
        </w:rPr>
        <w:t>环境影响报告表</w:t>
      </w:r>
      <w:r>
        <w:rPr>
          <w:rFonts w:hint="eastAsia"/>
          <w:sz w:val="24"/>
          <w:szCs w:val="24"/>
          <w:lang w:val="en-US" w:eastAsia="zh-CN"/>
        </w:rPr>
        <w:t>内容）</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00"/>
        <w:gridCol w:w="636"/>
        <w:gridCol w:w="557"/>
        <w:gridCol w:w="991"/>
        <w:gridCol w:w="2969"/>
        <w:gridCol w:w="695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57"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号</w:t>
            </w:r>
          </w:p>
        </w:tc>
        <w:tc>
          <w:tcPr>
            <w:tcW w:w="900"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项目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名称</w:t>
            </w:r>
          </w:p>
        </w:tc>
        <w:tc>
          <w:tcPr>
            <w:tcW w:w="636"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建设</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地点</w:t>
            </w:r>
          </w:p>
        </w:tc>
        <w:tc>
          <w:tcPr>
            <w:tcW w:w="557"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建设</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单位</w:t>
            </w:r>
          </w:p>
        </w:tc>
        <w:tc>
          <w:tcPr>
            <w:tcW w:w="991"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环境影响</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评价机构</w:t>
            </w:r>
          </w:p>
        </w:tc>
        <w:tc>
          <w:tcPr>
            <w:tcW w:w="2969"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建设项目概况</w:t>
            </w:r>
          </w:p>
        </w:tc>
        <w:tc>
          <w:tcPr>
            <w:tcW w:w="6955"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主要环境影响及预防减轻不良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环境影响的对策和措施</w:t>
            </w:r>
          </w:p>
        </w:tc>
        <w:tc>
          <w:tcPr>
            <w:tcW w:w="709"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宋体" w:cs="Times New Roman"/>
                <w:color w:val="262626"/>
                <w:kern w:val="0"/>
                <w:sz w:val="21"/>
                <w:szCs w:val="21"/>
                <w:lang w:val="en-US" w:eastAsia="zh-CN"/>
              </w:rPr>
            </w:pPr>
            <w:r>
              <w:rPr>
                <w:rFonts w:hint="eastAsia" w:ascii="Times New Roman" w:hAnsi="宋体" w:cs="Times New Roman"/>
                <w:color w:val="262626"/>
                <w:kern w:val="0"/>
                <w:sz w:val="21"/>
                <w:szCs w:val="21"/>
                <w:lang w:val="en-US" w:eastAsia="zh-CN"/>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宋体" w:cs="Times New Roman"/>
                <w:color w:val="262626"/>
                <w:kern w:val="0"/>
                <w:sz w:val="21"/>
                <w:szCs w:val="21"/>
                <w:lang w:val="en-US" w:eastAsia="zh-CN"/>
              </w:rPr>
            </w:pPr>
            <w:r>
              <w:rPr>
                <w:rFonts w:hint="eastAsia" w:hAnsi="宋体" w:cs="Times New Roman"/>
                <w:color w:val="262626"/>
                <w:kern w:val="0"/>
                <w:sz w:val="21"/>
                <w:szCs w:val="21"/>
                <w:lang w:val="en-US" w:eastAsia="zh-CN"/>
              </w:rPr>
              <w:t>1</w:t>
            </w:r>
          </w:p>
        </w:tc>
        <w:tc>
          <w:tcPr>
            <w:tcW w:w="900"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bCs/>
                <w:sz w:val="24"/>
                <w:szCs w:val="24"/>
              </w:rPr>
              <w:t>河南中宏建筑技术发展有限公司年产10万平方模板项目</w:t>
            </w:r>
          </w:p>
        </w:tc>
        <w:tc>
          <w:tcPr>
            <w:tcW w:w="636"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4"/>
                <w:szCs w:val="24"/>
              </w:rPr>
              <w:t>商丘市民权县高新技术产业开发区</w:t>
            </w:r>
          </w:p>
        </w:tc>
        <w:tc>
          <w:tcPr>
            <w:tcW w:w="557"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bCs/>
                <w:sz w:val="24"/>
              </w:rPr>
              <w:t>河南中宏建筑技术发展有限公司</w:t>
            </w:r>
          </w:p>
        </w:tc>
        <w:tc>
          <w:tcPr>
            <w:tcW w:w="991"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4"/>
              </w:rPr>
              <w:t>河南省昊德环保科技有限公司</w:t>
            </w:r>
          </w:p>
        </w:tc>
        <w:tc>
          <w:tcPr>
            <w:tcW w:w="2969" w:type="dxa"/>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eastAsia"/>
                <w:sz w:val="24"/>
              </w:rPr>
              <w:t>本项目为</w:t>
            </w:r>
            <w:r>
              <w:rPr>
                <w:rFonts w:hint="eastAsia"/>
                <w:sz w:val="24"/>
                <w:lang w:eastAsia="zh-CN"/>
              </w:rPr>
              <w:t>改扩建项目，占地面积</w:t>
            </w:r>
            <w:r>
              <w:rPr>
                <w:rFonts w:hint="eastAsia"/>
                <w:sz w:val="24"/>
                <w:lang w:val="en-US" w:eastAsia="zh-CN"/>
              </w:rPr>
              <w:t>2350平方米，总投资200万元，主要生产工艺为</w:t>
            </w:r>
            <w:r>
              <w:rPr>
                <w:rFonts w:hint="eastAsia"/>
                <w:sz w:val="24"/>
                <w:szCs w:val="24"/>
              </w:rPr>
              <w:t>回收旧版</w:t>
            </w:r>
            <w:r>
              <w:rPr>
                <w:sz w:val="24"/>
                <w:szCs w:val="24"/>
              </w:rPr>
              <w:t>—</w:t>
            </w:r>
            <w:r>
              <w:rPr>
                <w:rFonts w:hint="eastAsia"/>
                <w:sz w:val="24"/>
                <w:szCs w:val="24"/>
              </w:rPr>
              <w:t>分拣</w:t>
            </w:r>
            <w:r>
              <w:rPr>
                <w:sz w:val="24"/>
                <w:szCs w:val="24"/>
              </w:rPr>
              <w:t>—</w:t>
            </w:r>
            <w:r>
              <w:rPr>
                <w:rFonts w:hint="eastAsia"/>
                <w:sz w:val="24"/>
                <w:szCs w:val="24"/>
              </w:rPr>
              <w:t>抛丸</w:t>
            </w:r>
            <w:r>
              <w:rPr>
                <w:sz w:val="24"/>
                <w:szCs w:val="24"/>
              </w:rPr>
              <w:t>—</w:t>
            </w:r>
            <w:r>
              <w:rPr>
                <w:rFonts w:hint="eastAsia"/>
                <w:sz w:val="24"/>
                <w:szCs w:val="24"/>
              </w:rPr>
              <w:t>喷塑</w:t>
            </w:r>
            <w:r>
              <w:rPr>
                <w:sz w:val="24"/>
                <w:szCs w:val="24"/>
              </w:rPr>
              <w:t>—</w:t>
            </w:r>
            <w:r>
              <w:rPr>
                <w:rFonts w:hint="eastAsia"/>
                <w:sz w:val="24"/>
                <w:szCs w:val="24"/>
              </w:rPr>
              <w:t>组装</w:t>
            </w:r>
            <w:r>
              <w:rPr>
                <w:sz w:val="24"/>
                <w:szCs w:val="24"/>
              </w:rPr>
              <w:t>—</w:t>
            </w:r>
            <w:r>
              <w:rPr>
                <w:rFonts w:hint="eastAsia"/>
                <w:sz w:val="24"/>
                <w:szCs w:val="24"/>
              </w:rPr>
              <w:t>打包</w:t>
            </w:r>
            <w:r>
              <w:rPr>
                <w:rFonts w:hint="eastAsia"/>
                <w:sz w:val="24"/>
                <w:szCs w:val="24"/>
                <w:lang w:eastAsia="zh-CN"/>
              </w:rPr>
              <w:t>，主要设备为</w:t>
            </w:r>
            <w:r>
              <w:rPr>
                <w:rFonts w:hint="eastAsia"/>
                <w:sz w:val="24"/>
                <w:szCs w:val="24"/>
              </w:rPr>
              <w:t>抛丸机2台、喷塑设备生产线一套</w:t>
            </w:r>
          </w:p>
        </w:tc>
        <w:tc>
          <w:tcPr>
            <w:tcW w:w="6955" w:type="dxa"/>
            <w:vAlign w:val="center"/>
          </w:tcPr>
          <w:p>
            <w:pPr>
              <w:rPr>
                <w:sz w:val="24"/>
              </w:rPr>
            </w:pPr>
            <w:r>
              <w:rPr>
                <w:rFonts w:hint="eastAsia"/>
                <w:sz w:val="24"/>
              </w:rPr>
              <w:t>本项目</w:t>
            </w:r>
            <w:r>
              <w:rPr>
                <w:rFonts w:hint="eastAsia"/>
                <w:sz w:val="24"/>
                <w:lang w:eastAsia="zh-CN"/>
              </w:rPr>
              <w:t>主要</w:t>
            </w:r>
            <w:r>
              <w:rPr>
                <w:rFonts w:hint="eastAsia"/>
                <w:sz w:val="24"/>
              </w:rPr>
              <w:t>利用现有工程生产车间进行生产，不进行基建施工。因此不再进行施工期影响分析。</w:t>
            </w:r>
          </w:p>
          <w:p>
            <w:pPr>
              <w:rPr>
                <w:sz w:val="24"/>
                <w:szCs w:val="24"/>
              </w:rPr>
            </w:pPr>
            <w:r>
              <w:rPr>
                <w:rFonts w:hint="eastAsia"/>
                <w:sz w:val="24"/>
              </w:rPr>
              <w:t>1、废水。</w:t>
            </w:r>
            <w:r>
              <w:rPr>
                <w:rFonts w:hint="eastAsia"/>
                <w:bCs/>
                <w:sz w:val="24"/>
              </w:rPr>
              <w:t>职工生活</w:t>
            </w:r>
            <w:r>
              <w:rPr>
                <w:rFonts w:hint="eastAsia"/>
                <w:bCs/>
                <w:sz w:val="24"/>
                <w:lang w:eastAsia="zh-CN"/>
              </w:rPr>
              <w:t>污水</w:t>
            </w:r>
            <w:r>
              <w:rPr>
                <w:rFonts w:hint="eastAsia"/>
                <w:bCs/>
                <w:sz w:val="24"/>
              </w:rPr>
              <w:t>经厂区化粪池暂存后进入民权县污水处理厂</w:t>
            </w:r>
            <w:r>
              <w:rPr>
                <w:rFonts w:hint="eastAsia"/>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z w:val="24"/>
                <w:szCs w:val="24"/>
                <w:lang w:eastAsia="zh-CN"/>
              </w:rPr>
            </w:pPr>
            <w:r>
              <w:rPr>
                <w:rFonts w:hint="eastAsia" w:eastAsia="宋体"/>
                <w:b w:val="0"/>
                <w:bCs w:val="0"/>
                <w:kern w:val="2"/>
                <w:sz w:val="24"/>
              </w:rPr>
              <w:t>2、废气。</w:t>
            </w:r>
            <w:r>
              <w:rPr>
                <w:rFonts w:hint="eastAsia"/>
                <w:sz w:val="24"/>
                <w:szCs w:val="24"/>
              </w:rPr>
              <w:t>项目废气主要为</w:t>
            </w:r>
            <w:r>
              <w:rPr>
                <w:rFonts w:hint="eastAsia"/>
                <w:sz w:val="24"/>
                <w:szCs w:val="24"/>
                <w:lang w:eastAsia="zh-CN"/>
              </w:rPr>
              <w:t>抛丸粉尘、喷塑及固化废气、天然气燃烧烟气</w:t>
            </w:r>
            <w:r>
              <w:rPr>
                <w:sz w:val="24"/>
                <w:szCs w:val="24"/>
              </w:rPr>
              <w:t>。</w:t>
            </w:r>
            <w:r>
              <w:rPr>
                <w:rFonts w:hint="eastAsia"/>
                <w:sz w:val="24"/>
                <w:szCs w:val="24"/>
                <w:lang w:eastAsia="zh-CN"/>
              </w:rPr>
              <w:t>抛丸粉尘经袋式除尘器处理后由</w:t>
            </w:r>
            <w:r>
              <w:rPr>
                <w:rFonts w:hint="eastAsia"/>
                <w:sz w:val="24"/>
                <w:szCs w:val="24"/>
                <w:lang w:val="en-US" w:eastAsia="zh-CN"/>
              </w:rPr>
              <w:t>1#</w:t>
            </w:r>
            <w:r>
              <w:rPr>
                <w:rFonts w:hint="eastAsia"/>
                <w:sz w:val="24"/>
                <w:szCs w:val="24"/>
                <w:lang w:eastAsia="zh-CN"/>
              </w:rPr>
              <w:t>排气筒</w:t>
            </w:r>
            <w:r>
              <w:rPr>
                <w:rFonts w:hint="eastAsia"/>
                <w:sz w:val="24"/>
                <w:szCs w:val="24"/>
                <w:lang w:val="en-US" w:eastAsia="zh-CN"/>
              </w:rPr>
              <w:t>排放，</w:t>
            </w:r>
            <w:r>
              <w:rPr>
                <w:rFonts w:hint="eastAsia" w:eastAsiaTheme="minorEastAsia"/>
                <w:sz w:val="24"/>
                <w:szCs w:val="24"/>
                <w:lang w:eastAsia="zh-CN"/>
              </w:rPr>
              <w:t>排放浓度</w:t>
            </w:r>
            <w:r>
              <w:rPr>
                <w:rFonts w:hint="eastAsia"/>
                <w:sz w:val="24"/>
                <w:szCs w:val="24"/>
              </w:rPr>
              <w:t>《大气污染物综合排放标准》（GB16297-1996）表2二级标准</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4"/>
                <w:szCs w:val="24"/>
                <w:lang w:eastAsia="zh-CN"/>
              </w:rPr>
            </w:pPr>
            <w:r>
              <w:rPr>
                <w:rFonts w:hint="eastAsia"/>
                <w:sz w:val="24"/>
                <w:lang w:eastAsia="zh-CN"/>
              </w:rPr>
              <w:t>喷塑粉尘经“滤芯回收系统</w:t>
            </w:r>
            <w:r>
              <w:rPr>
                <w:rFonts w:hint="eastAsia"/>
                <w:sz w:val="24"/>
                <w:lang w:val="en-US" w:eastAsia="zh-CN"/>
              </w:rPr>
              <w:t>+袋式除尘器</w:t>
            </w:r>
            <w:r>
              <w:rPr>
                <w:rFonts w:hint="eastAsia"/>
                <w:sz w:val="24"/>
                <w:lang w:eastAsia="zh-CN"/>
              </w:rPr>
              <w:t>”处理后经</w:t>
            </w:r>
            <w:r>
              <w:rPr>
                <w:rFonts w:hint="eastAsia"/>
                <w:sz w:val="24"/>
                <w:lang w:val="en-US" w:eastAsia="zh-CN"/>
              </w:rPr>
              <w:t>2#排气筒排放，排放浓度</w:t>
            </w:r>
            <w:r>
              <w:rPr>
                <w:rFonts w:hint="eastAsia"/>
                <w:sz w:val="24"/>
              </w:rPr>
              <w:t>满足《大气污染物综合排放标准》（GB16297-1996）表2二级标准</w:t>
            </w:r>
            <w:r>
              <w:rPr>
                <w:rFonts w:hint="eastAsia"/>
                <w:sz w:val="24"/>
                <w:lang w:eastAsia="zh-CN"/>
              </w:rPr>
              <w:t>；固化废气经</w:t>
            </w:r>
            <w:r>
              <w:rPr>
                <w:rFonts w:hint="eastAsia"/>
                <w:color w:val="000000"/>
                <w:sz w:val="24"/>
                <w:szCs w:val="24"/>
                <w:lang w:eastAsia="zh-CN"/>
              </w:rPr>
              <w:t>“</w:t>
            </w:r>
            <w:r>
              <w:rPr>
                <w:rFonts w:hint="eastAsia"/>
                <w:spacing w:val="-6"/>
                <w:sz w:val="24"/>
                <w:szCs w:val="24"/>
                <w:lang w:val="en-US"/>
              </w:rPr>
              <w:t>UV光氧催化装置+活性炭吸附装置</w:t>
            </w:r>
            <w:r>
              <w:rPr>
                <w:rFonts w:hint="eastAsia"/>
                <w:color w:val="000000"/>
                <w:sz w:val="24"/>
                <w:szCs w:val="24"/>
                <w:lang w:eastAsia="zh-CN"/>
              </w:rPr>
              <w:t>”处理后由</w:t>
            </w:r>
            <w:r>
              <w:rPr>
                <w:rFonts w:hint="eastAsia"/>
                <w:color w:val="000000"/>
                <w:sz w:val="24"/>
                <w:szCs w:val="24"/>
                <w:lang w:val="en-US" w:eastAsia="zh-CN"/>
              </w:rPr>
              <w:t>3#排气筒排放，排放浓度</w:t>
            </w:r>
            <w:r>
              <w:rPr>
                <w:rFonts w:hint="eastAsia"/>
                <w:sz w:val="24"/>
              </w:rPr>
              <w:t>满足《大气污染物综合排放标准》（GB16297-1996）表2二级标准要求</w:t>
            </w:r>
            <w:r>
              <w:rPr>
                <w:rFonts w:hint="eastAsia"/>
                <w:sz w:val="24"/>
                <w:lang w:eastAsia="zh-CN"/>
              </w:rPr>
              <w:t>、</w:t>
            </w:r>
            <w:r>
              <w:rPr>
                <w:rFonts w:hint="eastAsia"/>
                <w:sz w:val="24"/>
              </w:rPr>
              <w:t>《关于全省开展工业企业挥发性有机物专项治理工作中排放建议值的通知》</w:t>
            </w:r>
            <w:r>
              <w:rPr>
                <w:rFonts w:hint="eastAsia"/>
                <w:sz w:val="24"/>
                <w:lang w:eastAsia="zh-CN"/>
              </w:rPr>
              <w:t>及</w:t>
            </w:r>
            <w:r>
              <w:rPr>
                <w:rFonts w:hint="eastAsia"/>
                <w:bCs/>
                <w:sz w:val="24"/>
                <w:szCs w:val="24"/>
              </w:rPr>
              <w:t>《</w:t>
            </w:r>
            <w:r>
              <w:rPr>
                <w:rFonts w:hint="eastAsia"/>
                <w:bCs/>
                <w:sz w:val="24"/>
                <w:szCs w:val="24"/>
                <w:lang w:eastAsia="zh-CN"/>
              </w:rPr>
              <w:t>工业涂装业</w:t>
            </w:r>
            <w:r>
              <w:rPr>
                <w:rFonts w:hint="eastAsia"/>
                <w:bCs/>
                <w:sz w:val="24"/>
                <w:szCs w:val="24"/>
              </w:rPr>
              <w:t>挥发性有机物排放标准》（征求意见稿）</w:t>
            </w:r>
            <w:r>
              <w:rPr>
                <w:rFonts w:hint="eastAsia"/>
                <w:bCs/>
                <w:sz w:val="24"/>
                <w:szCs w:val="24"/>
                <w:lang w:eastAsia="zh-CN"/>
              </w:rPr>
              <w:t>；天然气燃烧机烟气经低氮燃烧装置处理后由</w:t>
            </w:r>
            <w:r>
              <w:rPr>
                <w:rFonts w:hint="eastAsia"/>
                <w:bCs/>
                <w:sz w:val="24"/>
                <w:szCs w:val="24"/>
                <w:lang w:val="en-US" w:eastAsia="zh-CN"/>
              </w:rPr>
              <w:t>4#</w:t>
            </w:r>
            <w:r>
              <w:rPr>
                <w:rFonts w:hint="eastAsia"/>
                <w:bCs/>
                <w:sz w:val="24"/>
                <w:szCs w:val="24"/>
                <w:lang w:eastAsia="zh-CN"/>
              </w:rPr>
              <w:t>高排气筒排放，排放浓度满足</w:t>
            </w:r>
            <w:r>
              <w:rPr>
                <w:sz w:val="24"/>
                <w:szCs w:val="24"/>
              </w:rPr>
              <w:t>《</w:t>
            </w:r>
            <w:r>
              <w:rPr>
                <w:rFonts w:hint="eastAsia"/>
                <w:sz w:val="24"/>
                <w:szCs w:val="24"/>
                <w:lang w:eastAsia="zh-CN"/>
              </w:rPr>
              <w:t>锅炉</w:t>
            </w:r>
            <w:r>
              <w:rPr>
                <w:sz w:val="24"/>
                <w:szCs w:val="24"/>
              </w:rPr>
              <w:t>大气污染物排放标准》（</w:t>
            </w:r>
            <w:r>
              <w:rPr>
                <w:rFonts w:hint="eastAsia"/>
                <w:sz w:val="24"/>
                <w:szCs w:val="24"/>
                <w:lang w:val="en-US" w:eastAsia="zh-CN"/>
              </w:rPr>
              <w:t>G</w:t>
            </w:r>
            <w:r>
              <w:rPr>
                <w:sz w:val="24"/>
                <w:szCs w:val="24"/>
              </w:rPr>
              <w:t>B</w:t>
            </w:r>
            <w:r>
              <w:rPr>
                <w:rFonts w:hint="eastAsia"/>
                <w:sz w:val="24"/>
                <w:szCs w:val="24"/>
                <w:lang w:val="en-US" w:eastAsia="zh-CN"/>
              </w:rPr>
              <w:t>13271-2014</w:t>
            </w:r>
            <w:r>
              <w:rPr>
                <w:sz w:val="24"/>
                <w:szCs w:val="24"/>
              </w:rPr>
              <w:t>）</w:t>
            </w:r>
            <w:r>
              <w:rPr>
                <w:rFonts w:hint="eastAsia"/>
                <w:sz w:val="24"/>
                <w:szCs w:val="24"/>
                <w:lang w:eastAsia="zh-CN"/>
              </w:rPr>
              <w:t>及</w:t>
            </w:r>
            <w:r>
              <w:rPr>
                <w:sz w:val="24"/>
                <w:szCs w:val="24"/>
              </w:rPr>
              <w:t>《</w:t>
            </w:r>
            <w:r>
              <w:rPr>
                <w:rFonts w:hint="eastAsia"/>
                <w:sz w:val="24"/>
                <w:szCs w:val="24"/>
                <w:lang w:eastAsia="zh-CN"/>
              </w:rPr>
              <w:t>河南省</w:t>
            </w:r>
            <w:r>
              <w:rPr>
                <w:rFonts w:hint="eastAsia"/>
                <w:sz w:val="24"/>
                <w:szCs w:val="24"/>
                <w:lang w:val="en-US" w:eastAsia="zh-CN"/>
              </w:rPr>
              <w:t>2020年大气污染防治攻坚战实施方案</w:t>
            </w:r>
            <w:r>
              <w:rPr>
                <w:sz w:val="24"/>
                <w:szCs w:val="24"/>
              </w:rPr>
              <w:t>》</w:t>
            </w:r>
            <w:r>
              <w:rPr>
                <w:rFonts w:hint="eastAsia"/>
                <w:sz w:val="24"/>
                <w:szCs w:val="24"/>
                <w:lang w:eastAsia="zh-CN"/>
              </w:rPr>
              <w:t>燃气直燃机排放标准。</w:t>
            </w:r>
          </w:p>
          <w:p>
            <w:pPr>
              <w:pStyle w:val="2"/>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3、噪声。经基础减振、厂房隔声等措施后，</w:t>
            </w:r>
            <w:r>
              <w:rPr>
                <w:rFonts w:hint="default" w:ascii="Times New Roman" w:hAnsi="Times New Roman" w:cs="Times New Roman"/>
                <w:sz w:val="24"/>
              </w:rPr>
              <w:t>厂界噪声</w:t>
            </w:r>
            <w:r>
              <w:rPr>
                <w:rFonts w:hint="default" w:ascii="Times New Roman" w:hAnsi="Times New Roman" w:cs="Times New Roman"/>
                <w:sz w:val="24"/>
                <w:lang w:eastAsia="zh-CN"/>
              </w:rPr>
              <w:t>预测值</w:t>
            </w:r>
            <w:r>
              <w:rPr>
                <w:rFonts w:hint="default" w:ascii="Times New Roman" w:hAnsi="Times New Roman" w:cs="Times New Roman"/>
                <w:sz w:val="24"/>
              </w:rPr>
              <w:t>满足《工业企业厂界环境噪声排放标准》（GB12348-2008）3类标准</w:t>
            </w:r>
            <w:r>
              <w:rPr>
                <w:rFonts w:hint="default" w:ascii="Times New Roman" w:hAnsi="Times New Roman" w:cs="Times New Roman"/>
                <w:sz w:val="24"/>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240" w:lineRule="auto"/>
              <w:ind w:leftChars="0" w:right="0" w:rightChars="0"/>
              <w:jc w:val="both"/>
              <w:textAlignment w:val="auto"/>
              <w:rPr>
                <w:rFonts w:hint="eastAsia" w:ascii="Times New Roman" w:hAnsi="Times New Roman" w:eastAsia="宋体" w:cs="Times New Roman"/>
                <w:kern w:val="2"/>
                <w:sz w:val="21"/>
                <w:szCs w:val="21"/>
                <w:lang w:val="en-US" w:eastAsia="zh-CN" w:bidi="ar-SA"/>
              </w:rPr>
            </w:pPr>
            <w:r>
              <w:rPr>
                <w:sz w:val="24"/>
                <w:szCs w:val="24"/>
              </w:rPr>
              <w:t>4</w:t>
            </w:r>
            <w:r>
              <w:rPr>
                <w:rFonts w:hint="eastAsia"/>
                <w:sz w:val="24"/>
                <w:szCs w:val="24"/>
              </w:rPr>
              <w:t>、固废</w:t>
            </w:r>
            <w:r>
              <w:rPr>
                <w:rFonts w:hint="eastAsia"/>
                <w:bCs/>
                <w:sz w:val="24"/>
                <w:szCs w:val="24"/>
              </w:rPr>
              <w:t>。</w:t>
            </w:r>
            <w:r>
              <w:rPr>
                <w:rFonts w:hint="eastAsia"/>
                <w:sz w:val="24"/>
                <w:szCs w:val="24"/>
                <w:lang w:eastAsia="zh-CN"/>
              </w:rPr>
              <w:t>项目营运期</w:t>
            </w:r>
            <w:r>
              <w:rPr>
                <w:bCs/>
                <w:color w:val="000000"/>
                <w:spacing w:val="6"/>
                <w:sz w:val="24"/>
                <w:szCs w:val="24"/>
              </w:rPr>
              <w:t>分拣工序产生的块状水泥、抛丸工序袋式除尘器收集的粉尘交由环卫部门处置，</w:t>
            </w:r>
            <w:r>
              <w:rPr>
                <w:rFonts w:hint="eastAsia"/>
                <w:bCs/>
                <w:color w:val="000000"/>
                <w:spacing w:val="6"/>
                <w:sz w:val="24"/>
                <w:szCs w:val="24"/>
              </w:rPr>
              <w:t>喷塑</w:t>
            </w:r>
            <w:r>
              <w:rPr>
                <w:bCs/>
                <w:color w:val="000000"/>
                <w:spacing w:val="6"/>
                <w:sz w:val="24"/>
                <w:szCs w:val="24"/>
              </w:rPr>
              <w:t>工序袋式除尘器收集的粉尘回用于生产</w:t>
            </w:r>
            <w:r>
              <w:rPr>
                <w:rFonts w:hint="eastAsia"/>
                <w:bCs/>
                <w:color w:val="000000"/>
                <w:spacing w:val="6"/>
                <w:sz w:val="24"/>
                <w:szCs w:val="24"/>
              </w:rPr>
              <w:t>，整型工序产生的不合格品固废间暂存后外售</w:t>
            </w:r>
            <w:r>
              <w:rPr>
                <w:rFonts w:hint="eastAsia"/>
                <w:kern w:val="0"/>
                <w:sz w:val="24"/>
                <w:szCs w:val="24"/>
                <w:lang w:eastAsia="zh-CN"/>
              </w:rPr>
              <w:t>，废活性炭经危废间暂存后定期交由有资质的单位处置。</w:t>
            </w:r>
            <w:bookmarkStart w:id="0" w:name="_GoBack"/>
            <w:bookmarkEnd w:id="0"/>
          </w:p>
        </w:tc>
        <w:tc>
          <w:tcPr>
            <w:tcW w:w="709" w:type="dxa"/>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r>
    </w:tbl>
    <w:p>
      <w:pPr>
        <w:spacing w:line="700" w:lineRule="exact"/>
        <w:ind w:firstLine="1920" w:firstLineChars="800"/>
        <w:jc w:val="both"/>
        <w:rPr>
          <w:sz w:val="24"/>
          <w:szCs w:val="24"/>
        </w:rPr>
      </w:pPr>
    </w:p>
    <w:p>
      <w:pPr>
        <w:pStyle w:val="5"/>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A3AB2"/>
    <w:rsid w:val="0478266E"/>
    <w:rsid w:val="1261530C"/>
    <w:rsid w:val="276F083D"/>
    <w:rsid w:val="411B1262"/>
    <w:rsid w:val="506A6A3F"/>
    <w:rsid w:val="6D6A3AB2"/>
    <w:rsid w:val="73BD1D88"/>
    <w:rsid w:val="74520AFE"/>
    <w:rsid w:val="79C5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pPr>
      <w:spacing w:line="320" w:lineRule="exact"/>
    </w:pPr>
    <w:rPr>
      <w:rFonts w:ascii="宋体" w:hAnsi="宋体"/>
      <w:sz w:val="24"/>
    </w:rPr>
  </w:style>
  <w:style w:type="paragraph" w:styleId="5">
    <w:name w:val="Block Text"/>
    <w:basedOn w:val="1"/>
    <w:next w:val="1"/>
    <w:qFormat/>
    <w:uiPriority w:val="0"/>
    <w:pPr>
      <w:snapToGrid w:val="0"/>
      <w:spacing w:before="100" w:beforeAutospacing="1" w:after="100" w:afterAutospacing="1" w:line="408" w:lineRule="auto"/>
      <w:ind w:left="-113" w:right="-510" w:firstLine="51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1"/>
    <w:next w:val="1"/>
    <w:qFormat/>
    <w:uiPriority w:val="0"/>
    <w:pPr>
      <w:spacing w:after="120"/>
      <w:ind w:left="420" w:leftChars="200" w:firstLine="420"/>
    </w:pPr>
    <w:rPr>
      <w:rFonts w:ascii="Times New Roman" w:hAnsi="Times New Roman" w:eastAsia="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2020-08-19T07:06:00Z</dcterms:created>
  <dc:creator>南是故乡</dc:creator>
  <cp:lastModifiedBy>南是故乡</cp:lastModifiedBy>
  <dcterms:modified xsi:type="dcterms:W3CDTF">2020-11-09T09:11:28Z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