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left"/>
        <w:rPr>
          <w:rFonts w:hint="eastAsia"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br w:type="textWrapping"/>
      </w:r>
      <w:bookmarkStart w:id="0" w:name="_GoBack"/>
      <w:r>
        <w:rPr>
          <w:rFonts w:hint="default" w:ascii="Calibri" w:hAnsi="Calibri" w:eastAsia="宋体" w:cs="Times New Roman"/>
          <w:color w:val="auto"/>
          <w:kern w:val="2"/>
          <w:sz w:val="21"/>
          <w:szCs w:val="21"/>
          <w:highlight w:val="none"/>
          <w:lang w:val="en-US" w:eastAsia="zh-CN" w:bidi="ar-SA"/>
        </w:rPr>
        <w:t>拟 审批的建设项目</w:t>
      </w:r>
      <w:r>
        <w:rPr>
          <w:rFonts w:hint="eastAsia" w:ascii="Calibri" w:hAnsi="Calibri" w:eastAsia="宋体" w:cs="Times New Roman"/>
          <w:color w:val="auto"/>
          <w:kern w:val="2"/>
          <w:sz w:val="21"/>
          <w:szCs w:val="21"/>
          <w:highlight w:val="none"/>
          <w:lang w:val="en-US" w:eastAsia="zh-CN" w:bidi="ar-SA"/>
        </w:rPr>
        <w:t>采取的污染防治措施（</w:t>
      </w:r>
      <w:r>
        <w:rPr>
          <w:rFonts w:hint="default" w:ascii="Calibri" w:hAnsi="Calibri" w:eastAsia="宋体" w:cs="Times New Roman"/>
          <w:color w:val="auto"/>
          <w:kern w:val="2"/>
          <w:sz w:val="21"/>
          <w:szCs w:val="21"/>
          <w:highlight w:val="none"/>
          <w:lang w:val="en-US" w:eastAsia="zh-CN" w:bidi="ar-SA"/>
        </w:rPr>
        <w:t>环境影响报告表</w:t>
      </w:r>
      <w:r>
        <w:rPr>
          <w:rFonts w:hint="eastAsia" w:ascii="Calibri" w:hAnsi="Calibri" w:eastAsia="宋体" w:cs="Times New Roman"/>
          <w:color w:val="auto"/>
          <w:kern w:val="2"/>
          <w:sz w:val="21"/>
          <w:szCs w:val="21"/>
          <w:highlight w:val="none"/>
          <w:lang w:val="en-US" w:eastAsia="zh-CN" w:bidi="ar-SA"/>
        </w:rPr>
        <w:t>内容）</w:t>
      </w:r>
      <w:bookmarkEnd w:id="0"/>
    </w:p>
    <w:tbl>
      <w:tblPr>
        <w:tblStyle w:val="8"/>
        <w:tblW w:w="13909"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390"/>
        <w:gridCol w:w="649"/>
        <w:gridCol w:w="275"/>
        <w:gridCol w:w="508"/>
        <w:gridCol w:w="842"/>
        <w:gridCol w:w="1165"/>
        <w:gridCol w:w="100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90" w:hRule="atLeast"/>
          <w:tblCellSpacing w:w="0" w:type="dxa"/>
        </w:trPr>
        <w:tc>
          <w:tcPr>
            <w:tcW w:w="390"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序号</w:t>
            </w:r>
          </w:p>
        </w:tc>
        <w:tc>
          <w:tcPr>
            <w:tcW w:w="649"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项目名称</w:t>
            </w:r>
          </w:p>
        </w:tc>
        <w:tc>
          <w:tcPr>
            <w:tcW w:w="275"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建设地点</w:t>
            </w:r>
          </w:p>
        </w:tc>
        <w:tc>
          <w:tcPr>
            <w:tcW w:w="508"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建设单位</w:t>
            </w:r>
          </w:p>
        </w:tc>
        <w:tc>
          <w:tcPr>
            <w:tcW w:w="842"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环境影响评价机构</w:t>
            </w:r>
          </w:p>
        </w:tc>
        <w:tc>
          <w:tcPr>
            <w:tcW w:w="1165"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建设项目概况</w:t>
            </w:r>
          </w:p>
        </w:tc>
        <w:tc>
          <w:tcPr>
            <w:tcW w:w="10080"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主要环境影响及预防或减轻不良环境影响的对策和措施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734" w:hRule="atLeast"/>
          <w:tblCellSpacing w:w="0" w:type="dxa"/>
        </w:trPr>
        <w:tc>
          <w:tcPr>
            <w:tcW w:w="390"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1</w:t>
            </w:r>
          </w:p>
        </w:tc>
        <w:tc>
          <w:tcPr>
            <w:tcW w:w="649"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河南东创建筑科技有限公司年产值1.8万吨爬架生产建设</w:t>
            </w:r>
          </w:p>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项目</w:t>
            </w:r>
          </w:p>
        </w:tc>
        <w:tc>
          <w:tcPr>
            <w:tcW w:w="275"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商丘市民权县建业路南侧、车站南路西侧</w:t>
            </w:r>
          </w:p>
        </w:tc>
        <w:tc>
          <w:tcPr>
            <w:tcW w:w="508"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河南东创建筑科技有限公司</w:t>
            </w:r>
          </w:p>
        </w:tc>
        <w:tc>
          <w:tcPr>
            <w:tcW w:w="842"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河南鼎诚聚赢环境科技有限公司</w:t>
            </w:r>
          </w:p>
        </w:tc>
        <w:tc>
          <w:tcPr>
            <w:tcW w:w="1165" w:type="dxa"/>
            <w:vAlign w:val="center"/>
          </w:tcPr>
          <w:p>
            <w:pPr>
              <w:keepNext w:val="0"/>
              <w:keepLines w:val="0"/>
              <w:widowControl/>
              <w:suppressLineNumbers w:val="0"/>
              <w:ind w:left="0" w:firstLine="0"/>
              <w:jc w:val="left"/>
              <w:rPr>
                <w:rFonts w:hint="default" w:ascii="Calibri" w:hAnsi="Calibri" w:eastAsia="宋体" w:cs="Times New Roman"/>
                <w:color w:val="auto"/>
                <w:kern w:val="2"/>
                <w:sz w:val="21"/>
                <w:szCs w:val="21"/>
                <w:highlight w:val="none"/>
                <w:lang w:val="en-US" w:eastAsia="zh-CN" w:bidi="ar-SA"/>
              </w:rPr>
            </w:pPr>
            <w:r>
              <w:rPr>
                <w:rFonts w:hint="default" w:ascii="Calibri" w:hAnsi="Calibri" w:eastAsia="宋体" w:cs="Times New Roman"/>
                <w:color w:val="auto"/>
                <w:kern w:val="2"/>
                <w:sz w:val="21"/>
                <w:szCs w:val="21"/>
                <w:highlight w:val="none"/>
                <w:lang w:val="en-US" w:eastAsia="zh-CN" w:bidi="ar-SA"/>
              </w:rPr>
              <w:t>河南东创建筑科技有限公司</w:t>
            </w:r>
            <w:r>
              <w:rPr>
                <w:rFonts w:hint="eastAsia" w:ascii="Calibri" w:hAnsi="Calibri" w:eastAsia="宋体" w:cs="Times New Roman"/>
                <w:color w:val="auto"/>
                <w:kern w:val="2"/>
                <w:sz w:val="21"/>
                <w:szCs w:val="21"/>
                <w:highlight w:val="none"/>
                <w:lang w:val="en-US" w:eastAsia="zh-CN" w:bidi="ar-SA"/>
              </w:rPr>
              <w:t>位于</w:t>
            </w:r>
            <w:r>
              <w:rPr>
                <w:rFonts w:hint="default" w:ascii="Calibri" w:hAnsi="Calibri" w:eastAsia="宋体" w:cs="Times New Roman"/>
                <w:color w:val="auto"/>
                <w:kern w:val="2"/>
                <w:sz w:val="21"/>
                <w:szCs w:val="21"/>
                <w:highlight w:val="none"/>
                <w:lang w:val="en-US" w:eastAsia="zh-CN" w:bidi="ar-SA"/>
              </w:rPr>
              <w:t>商丘市民权县建业路南侧、车站南路西侧</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总投资</w:t>
            </w:r>
            <w:r>
              <w:rPr>
                <w:rFonts w:hint="eastAsia" w:ascii="Calibri" w:hAnsi="Calibri" w:eastAsia="宋体" w:cs="Times New Roman"/>
                <w:color w:val="auto"/>
                <w:kern w:val="2"/>
                <w:sz w:val="21"/>
                <w:szCs w:val="21"/>
                <w:highlight w:val="none"/>
                <w:lang w:val="en-US" w:eastAsia="zh-CN" w:bidi="ar-SA"/>
              </w:rPr>
              <w:t>100</w:t>
            </w:r>
            <w:r>
              <w:rPr>
                <w:rFonts w:hint="default" w:ascii="Calibri" w:hAnsi="Calibri" w:eastAsia="宋体" w:cs="Times New Roman"/>
                <w:color w:val="auto"/>
                <w:kern w:val="2"/>
                <w:sz w:val="21"/>
                <w:szCs w:val="21"/>
                <w:highlight w:val="none"/>
                <w:lang w:val="en-US" w:eastAsia="zh-CN" w:bidi="ar-SA"/>
              </w:rPr>
              <w:t>万元</w:t>
            </w:r>
            <w:r>
              <w:rPr>
                <w:rFonts w:hint="eastAsia" w:ascii="Calibri" w:hAnsi="Calibri" w:eastAsia="宋体" w:cs="Times New Roman"/>
                <w:color w:val="auto"/>
                <w:kern w:val="2"/>
                <w:sz w:val="21"/>
                <w:szCs w:val="21"/>
                <w:highlight w:val="none"/>
                <w:lang w:val="en-US" w:eastAsia="zh-CN" w:bidi="ar-SA"/>
              </w:rPr>
              <w:t>，厂区</w:t>
            </w:r>
            <w:r>
              <w:rPr>
                <w:rFonts w:hint="default" w:ascii="Calibri" w:hAnsi="Calibri" w:eastAsia="宋体" w:cs="Times New Roman"/>
                <w:color w:val="auto"/>
                <w:kern w:val="2"/>
                <w:sz w:val="21"/>
                <w:szCs w:val="21"/>
                <w:highlight w:val="none"/>
                <w:lang w:val="en-US" w:eastAsia="zh-CN" w:bidi="ar-SA"/>
              </w:rPr>
              <w:t>总</w:t>
            </w:r>
            <w:r>
              <w:rPr>
                <w:rFonts w:hint="eastAsia" w:ascii="Calibri" w:hAnsi="Calibri" w:eastAsia="宋体" w:cs="Times New Roman"/>
                <w:color w:val="auto"/>
                <w:kern w:val="2"/>
                <w:sz w:val="21"/>
                <w:szCs w:val="21"/>
                <w:highlight w:val="none"/>
                <w:lang w:val="en-US" w:eastAsia="zh-CN" w:bidi="ar-SA"/>
              </w:rPr>
              <w:t>占地面积为</w:t>
            </w:r>
            <w:r>
              <w:rPr>
                <w:rFonts w:hint="default" w:ascii="Calibri" w:hAnsi="Calibri" w:eastAsia="宋体" w:cs="Times New Roman"/>
                <w:color w:val="auto"/>
                <w:kern w:val="2"/>
                <w:sz w:val="21"/>
                <w:szCs w:val="21"/>
                <w:highlight w:val="none"/>
                <w:lang w:val="en-US" w:eastAsia="zh-CN" w:bidi="ar-SA"/>
              </w:rPr>
              <w:t>20000</w:t>
            </w:r>
            <w:r>
              <w:rPr>
                <w:rFonts w:hint="eastAsia" w:ascii="Calibri" w:hAnsi="Calibri" w:eastAsia="宋体" w:cs="Times New Roman"/>
                <w:color w:val="auto"/>
                <w:kern w:val="2"/>
                <w:sz w:val="21"/>
                <w:szCs w:val="21"/>
                <w:highlight w:val="none"/>
                <w:lang w:val="en-US" w:eastAsia="zh-CN" w:bidi="ar-SA"/>
              </w:rPr>
              <w:t>㎡</w:t>
            </w:r>
          </w:p>
        </w:tc>
        <w:tc>
          <w:tcPr>
            <w:tcW w:w="10080" w:type="dxa"/>
            <w:vAlign w:val="center"/>
          </w:tcPr>
          <w:p>
            <w:pPr>
              <w:autoSpaceDE w:val="0"/>
              <w:autoSpaceDN w:val="0"/>
              <w:adjustRightInd w:val="0"/>
              <w:spacing w:line="240" w:lineRule="auto"/>
              <w:ind w:firstLine="480"/>
              <w:rPr>
                <w:rFonts w:hint="eastAsia" w:ascii="Calibri" w:hAnsi="Calibri" w:eastAsia="宋体" w:cs="Times New Roman"/>
                <w:color w:val="auto"/>
                <w:kern w:val="2"/>
                <w:sz w:val="21"/>
                <w:szCs w:val="21"/>
                <w:highlight w:val="none"/>
                <w:lang w:val="en-US" w:eastAsia="zh-CN" w:bidi="ar-SA"/>
              </w:rPr>
            </w:pPr>
            <w:r>
              <w:rPr>
                <w:rFonts w:hint="eastAsia" w:ascii="Calibri" w:hAnsi="Calibri" w:eastAsia="宋体" w:cs="Times New Roman"/>
                <w:color w:val="auto"/>
                <w:kern w:val="2"/>
                <w:sz w:val="21"/>
                <w:szCs w:val="21"/>
                <w:highlight w:val="none"/>
                <w:lang w:val="en-US" w:eastAsia="zh-CN" w:bidi="ar-SA"/>
              </w:rPr>
              <w:t>废水：</w:t>
            </w:r>
            <w:r>
              <w:rPr>
                <w:rFonts w:hint="default" w:ascii="Calibri" w:hAnsi="Calibri" w:eastAsia="宋体" w:cs="Times New Roman"/>
                <w:color w:val="auto"/>
                <w:kern w:val="2"/>
                <w:sz w:val="21"/>
                <w:szCs w:val="21"/>
                <w:highlight w:val="none"/>
                <w:lang w:val="en-US" w:eastAsia="zh-CN" w:bidi="ar-SA"/>
              </w:rPr>
              <w:t>职工生活污水</w:t>
            </w:r>
            <w:r>
              <w:rPr>
                <w:rFonts w:hint="eastAsia" w:ascii="Calibri" w:hAnsi="Calibri" w:eastAsia="宋体" w:cs="Times New Roman"/>
                <w:color w:val="auto"/>
                <w:kern w:val="2"/>
                <w:sz w:val="21"/>
                <w:szCs w:val="21"/>
                <w:highlight w:val="none"/>
                <w:lang w:val="en-US" w:eastAsia="zh-CN" w:bidi="ar-SA"/>
              </w:rPr>
              <w:t>及</w:t>
            </w:r>
            <w:r>
              <w:rPr>
                <w:rFonts w:hint="default" w:ascii="Calibri" w:hAnsi="Calibri" w:eastAsia="宋体" w:cs="Times New Roman"/>
                <w:color w:val="auto"/>
                <w:kern w:val="2"/>
                <w:sz w:val="21"/>
                <w:szCs w:val="21"/>
                <w:highlight w:val="none"/>
                <w:lang w:val="en-US" w:eastAsia="zh-CN" w:bidi="ar-SA"/>
              </w:rPr>
              <w:t>食堂废水进入厂区现有隔油池+化粪池进行处理后，通过市政污水管网进入民权县污水处理厂进一步处理，</w:t>
            </w:r>
            <w:r>
              <w:rPr>
                <w:rFonts w:hint="eastAsia" w:ascii="Calibri" w:hAnsi="Calibri" w:eastAsia="宋体" w:cs="Times New Roman"/>
                <w:color w:val="auto"/>
                <w:kern w:val="2"/>
                <w:sz w:val="21"/>
                <w:szCs w:val="21"/>
                <w:highlight w:val="none"/>
                <w:lang w:val="en-US" w:eastAsia="zh-CN" w:bidi="ar-SA"/>
              </w:rPr>
              <w:t>满足《污水综合排放标准》（GB8978-1996）表4三级标准并满足民权县污水处理厂入网水质要求。2、废气：项目营运期产生的废气主要为</w:t>
            </w:r>
            <w:r>
              <w:rPr>
                <w:rFonts w:hint="default" w:ascii="Calibri" w:hAnsi="Calibri" w:eastAsia="宋体" w:cs="Times New Roman"/>
                <w:color w:val="auto"/>
                <w:kern w:val="2"/>
                <w:sz w:val="21"/>
                <w:szCs w:val="21"/>
                <w:highlight w:val="none"/>
                <w:lang w:val="en-US" w:eastAsia="zh-CN" w:bidi="ar-SA"/>
              </w:rPr>
              <w:t>主要有焊接烟尘、喷粉粉尘、固化</w:t>
            </w:r>
            <w:r>
              <w:rPr>
                <w:rFonts w:hint="eastAsia" w:cs="Times New Roman"/>
                <w:color w:val="auto"/>
                <w:kern w:val="2"/>
                <w:sz w:val="21"/>
                <w:szCs w:val="21"/>
                <w:highlight w:val="none"/>
                <w:lang w:val="en-US" w:eastAsia="zh-CN" w:bidi="ar-SA"/>
              </w:rPr>
              <w:t>废气</w:t>
            </w:r>
            <w:r>
              <w:rPr>
                <w:rFonts w:hint="default" w:ascii="Calibri" w:hAnsi="Calibri" w:eastAsia="宋体" w:cs="Times New Roman"/>
                <w:color w:val="auto"/>
                <w:kern w:val="2"/>
                <w:sz w:val="21"/>
                <w:szCs w:val="21"/>
                <w:highlight w:val="none"/>
                <w:lang w:val="en-US" w:eastAsia="zh-CN" w:bidi="ar-SA"/>
              </w:rPr>
              <w:t>、天然气燃烧</w:t>
            </w:r>
            <w:r>
              <w:rPr>
                <w:rFonts w:hint="eastAsia" w:cs="Times New Roman"/>
                <w:color w:val="auto"/>
                <w:kern w:val="2"/>
                <w:sz w:val="21"/>
                <w:szCs w:val="21"/>
                <w:highlight w:val="none"/>
                <w:lang w:val="en-US" w:eastAsia="zh-CN" w:bidi="ar-SA"/>
              </w:rPr>
              <w:t>废气</w:t>
            </w:r>
            <w:r>
              <w:rPr>
                <w:rFonts w:hint="default" w:ascii="Calibri" w:hAnsi="Calibri" w:eastAsia="宋体" w:cs="Times New Roman"/>
                <w:color w:val="auto"/>
                <w:kern w:val="2"/>
                <w:sz w:val="21"/>
                <w:szCs w:val="21"/>
                <w:highlight w:val="none"/>
                <w:lang w:val="en-US" w:eastAsia="zh-CN" w:bidi="ar-SA"/>
              </w:rPr>
              <w:t>和食堂油烟。焊接烟尘通过移动式焊接烟尘净化器进行处理</w:t>
            </w:r>
            <w:r>
              <w:rPr>
                <w:rFonts w:hint="eastAsia" w:ascii="Calibri" w:hAnsi="Calibri" w:eastAsia="宋体" w:cs="Times New Roman"/>
                <w:color w:val="auto"/>
                <w:kern w:val="2"/>
                <w:sz w:val="21"/>
                <w:szCs w:val="21"/>
                <w:highlight w:val="none"/>
                <w:lang w:val="en-US" w:eastAsia="zh-CN" w:bidi="ar-SA"/>
              </w:rPr>
              <w:t>后</w:t>
            </w:r>
            <w:r>
              <w:rPr>
                <w:rFonts w:hint="default" w:ascii="Calibri" w:hAnsi="Calibri" w:eastAsia="宋体" w:cs="Times New Roman"/>
                <w:color w:val="auto"/>
                <w:kern w:val="2"/>
                <w:sz w:val="21"/>
                <w:szCs w:val="21"/>
                <w:highlight w:val="none"/>
                <w:lang w:val="en-US" w:eastAsia="zh-CN" w:bidi="ar-SA"/>
              </w:rPr>
              <w:t>车间内无组织排放</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满足《大气污染物综合排放标准》（GB16297-1996）表2二级标准要求</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喷粉粉尘经自带滤芯除尘器+袋式除尘器处理后经15m高排气筒排放</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满足《大气污染物综合排放标准》（GB16297-1996）表2二级标准要求</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固化废气</w:t>
            </w:r>
            <w:r>
              <w:rPr>
                <w:rFonts w:hint="eastAsia" w:ascii="Calibri" w:hAnsi="Calibri" w:eastAsia="宋体" w:cs="Times New Roman"/>
                <w:color w:val="auto"/>
                <w:kern w:val="2"/>
                <w:sz w:val="21"/>
                <w:szCs w:val="21"/>
                <w:highlight w:val="none"/>
                <w:lang w:val="en-US" w:eastAsia="zh-CN" w:bidi="ar-SA"/>
              </w:rPr>
              <w:t>通过</w:t>
            </w:r>
            <w:r>
              <w:rPr>
                <w:rFonts w:hint="default" w:ascii="Calibri" w:hAnsi="Calibri" w:eastAsia="宋体" w:cs="Times New Roman"/>
                <w:color w:val="auto"/>
                <w:kern w:val="2"/>
                <w:sz w:val="21"/>
                <w:szCs w:val="21"/>
                <w:highlight w:val="none"/>
                <w:lang w:val="en-US" w:eastAsia="zh-CN" w:bidi="ar-SA"/>
              </w:rPr>
              <w:t>低温等离子+UV光解净化装置处理后经15m高排气筒排放</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满足《大气污染物综合排放标准》（GB16297-1996）表2二级标准要求、《关于全省开展工业企业挥发性有机物专项治理工作中排放建议值的通知》（豫环攻坚办〔2017〕162号）中表面涂装行业要求</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《工业涂装工序挥发性有机物排放标准》（DB41/1951-2020）要求</w:t>
            </w:r>
            <w:r>
              <w:rPr>
                <w:rFonts w:hint="eastAsia" w:ascii="Calibri" w:hAnsi="Calibri" w:eastAsia="宋体" w:cs="Times New Roman"/>
                <w:color w:val="auto"/>
                <w:kern w:val="2"/>
                <w:sz w:val="21"/>
                <w:szCs w:val="21"/>
                <w:highlight w:val="none"/>
                <w:lang w:val="en-US" w:eastAsia="zh-CN" w:bidi="ar-SA"/>
              </w:rPr>
              <w:t>及</w:t>
            </w:r>
            <w:r>
              <w:rPr>
                <w:rFonts w:hint="default" w:ascii="Calibri" w:hAnsi="Calibri" w:eastAsia="宋体" w:cs="Times New Roman"/>
                <w:color w:val="auto"/>
                <w:kern w:val="2"/>
                <w:sz w:val="21"/>
                <w:szCs w:val="21"/>
                <w:highlight w:val="none"/>
                <w:lang w:val="en-US" w:eastAsia="zh-CN" w:bidi="ar-SA"/>
              </w:rPr>
              <w:t>及《挥发性有机物无组织排放控制标准》（GB37822-2019）</w:t>
            </w:r>
            <w:r>
              <w:rPr>
                <w:rFonts w:hint="eastAsia" w:ascii="Calibri" w:hAnsi="Calibri" w:eastAsia="宋体" w:cs="Times New Roman"/>
                <w:color w:val="auto"/>
                <w:kern w:val="2"/>
                <w:sz w:val="21"/>
                <w:szCs w:val="21"/>
                <w:highlight w:val="none"/>
                <w:lang w:val="en-US" w:eastAsia="zh-CN" w:bidi="ar-SA"/>
              </w:rPr>
              <w:t>要求；</w:t>
            </w:r>
            <w:r>
              <w:rPr>
                <w:rFonts w:hint="default" w:ascii="Calibri" w:hAnsi="Calibri" w:eastAsia="宋体" w:cs="Times New Roman"/>
                <w:color w:val="auto"/>
                <w:kern w:val="2"/>
                <w:sz w:val="21"/>
                <w:szCs w:val="21"/>
                <w:highlight w:val="none"/>
                <w:lang w:val="en-US" w:eastAsia="zh-CN" w:bidi="ar-SA"/>
              </w:rPr>
              <w:t>天然气燃烧废气</w:t>
            </w:r>
            <w:r>
              <w:rPr>
                <w:rFonts w:hint="eastAsia" w:ascii="Calibri" w:hAnsi="Calibri" w:eastAsia="宋体" w:cs="Times New Roman"/>
                <w:color w:val="auto"/>
                <w:kern w:val="2"/>
                <w:sz w:val="21"/>
                <w:szCs w:val="21"/>
                <w:highlight w:val="none"/>
                <w:lang w:val="en-US" w:eastAsia="zh-CN" w:bidi="ar-SA"/>
              </w:rPr>
              <w:t>采用</w:t>
            </w:r>
            <w:r>
              <w:rPr>
                <w:rFonts w:hint="default" w:ascii="Calibri" w:hAnsi="Calibri" w:eastAsia="宋体" w:cs="Times New Roman"/>
                <w:color w:val="auto"/>
                <w:kern w:val="2"/>
                <w:sz w:val="21"/>
                <w:szCs w:val="21"/>
                <w:highlight w:val="none"/>
                <w:lang w:val="en-US" w:eastAsia="zh-CN" w:bidi="ar-SA"/>
              </w:rPr>
              <w:t>表面燃烧超低氮燃烧器处理后与固化废气经同一根15m高排气筒排放</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满足《工业炉窑大气污染物排放标准》（DB41/1066-2020）其他炉窑排放限值要求</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食堂油烟采用油烟净化器处理后通过专用烟道排放</w:t>
            </w:r>
            <w:r>
              <w:rPr>
                <w:rFonts w:hint="eastAsia" w:ascii="Calibri" w:hAnsi="Calibri" w:eastAsia="宋体" w:cs="Times New Roman"/>
                <w:color w:val="auto"/>
                <w:kern w:val="2"/>
                <w:sz w:val="21"/>
                <w:szCs w:val="21"/>
                <w:highlight w:val="none"/>
                <w:lang w:val="en-US" w:eastAsia="zh-CN" w:bidi="ar-SA"/>
              </w:rPr>
              <w:t>，满足</w:t>
            </w:r>
            <w:r>
              <w:rPr>
                <w:rFonts w:hint="default" w:ascii="Calibri" w:hAnsi="Calibri" w:eastAsia="宋体" w:cs="Times New Roman"/>
                <w:color w:val="auto"/>
                <w:kern w:val="2"/>
                <w:sz w:val="21"/>
                <w:szCs w:val="21"/>
                <w:highlight w:val="none"/>
                <w:lang w:val="en-US" w:eastAsia="zh-CN" w:bidi="ar-SA"/>
              </w:rPr>
              <w:t>《餐饮业油烟污染物排放标准》（DB41/1604-2018）小型规模排放限值要求</w:t>
            </w:r>
            <w:r>
              <w:rPr>
                <w:rFonts w:hint="eastAsia" w:ascii="Calibri" w:hAnsi="Calibri" w:eastAsia="宋体" w:cs="Times New Roman"/>
                <w:color w:val="auto"/>
                <w:kern w:val="2"/>
                <w:sz w:val="21"/>
                <w:szCs w:val="21"/>
                <w:highlight w:val="none"/>
                <w:lang w:val="en-US" w:eastAsia="zh-CN" w:bidi="ar-SA"/>
              </w:rPr>
              <w:t>。3、固体：项目</w:t>
            </w:r>
            <w:r>
              <w:rPr>
                <w:rFonts w:hint="default" w:ascii="Calibri" w:hAnsi="Calibri" w:eastAsia="宋体" w:cs="Times New Roman"/>
                <w:color w:val="auto"/>
                <w:kern w:val="2"/>
                <w:sz w:val="21"/>
                <w:szCs w:val="21"/>
                <w:highlight w:val="none"/>
                <w:lang w:val="en-US" w:eastAsia="zh-CN" w:bidi="ar-SA"/>
              </w:rPr>
              <w:t>固体废物</w:t>
            </w:r>
            <w:r>
              <w:rPr>
                <w:rFonts w:hint="eastAsia" w:ascii="Calibri" w:hAnsi="Calibri" w:eastAsia="宋体" w:cs="Times New Roman"/>
                <w:color w:val="auto"/>
                <w:kern w:val="2"/>
                <w:sz w:val="21"/>
                <w:szCs w:val="21"/>
                <w:highlight w:val="none"/>
                <w:lang w:val="en-US" w:eastAsia="zh-CN" w:bidi="ar-SA"/>
              </w:rPr>
              <w:t>主要为</w:t>
            </w:r>
            <w:r>
              <w:rPr>
                <w:rFonts w:hint="default" w:ascii="Calibri" w:hAnsi="Calibri" w:eastAsia="宋体" w:cs="Times New Roman"/>
                <w:color w:val="auto"/>
                <w:kern w:val="2"/>
                <w:sz w:val="21"/>
                <w:szCs w:val="21"/>
                <w:highlight w:val="none"/>
                <w:lang w:val="en-US" w:eastAsia="zh-CN" w:bidi="ar-SA"/>
              </w:rPr>
              <w:t>裁切工序产生的边角料、除尘器收集的粉尘、焊渣、化粪池污泥和职工生活垃圾。</w:t>
            </w:r>
            <w:r>
              <w:rPr>
                <w:rFonts w:hint="eastAsia" w:ascii="Calibri" w:hAnsi="Calibri" w:eastAsia="宋体" w:cs="Times New Roman"/>
                <w:color w:val="auto"/>
                <w:kern w:val="2"/>
                <w:sz w:val="21"/>
                <w:szCs w:val="21"/>
                <w:highlight w:val="none"/>
                <w:lang w:val="en-US" w:eastAsia="zh-CN" w:bidi="ar-SA"/>
              </w:rPr>
              <w:t>废</w:t>
            </w:r>
            <w:r>
              <w:rPr>
                <w:rFonts w:hint="default" w:ascii="Calibri" w:hAnsi="Calibri" w:eastAsia="宋体" w:cs="Times New Roman"/>
                <w:color w:val="auto"/>
                <w:kern w:val="2"/>
                <w:sz w:val="21"/>
                <w:szCs w:val="21"/>
                <w:highlight w:val="none"/>
                <w:lang w:val="en-US" w:eastAsia="zh-CN" w:bidi="ar-SA"/>
              </w:rPr>
              <w:t>边角料收集后出售给专门的收购公司全部回收利用</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除尘器收集的粉尘集中收集后由当地环卫部门统一处理</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焊渣收集后出售给专门的收购公司全部回收利用</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化粪池污泥定期清掏，运往生活垃圾填埋场卫生填埋</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职工生活垃圾设置垃圾收集箱集中收集后由当地环卫部门统一处理</w:t>
            </w:r>
            <w:r>
              <w:rPr>
                <w:rFonts w:hint="eastAsia" w:ascii="Calibri" w:hAnsi="Calibri" w:eastAsia="宋体" w:cs="Times New Roman"/>
                <w:color w:val="auto"/>
                <w:kern w:val="2"/>
                <w:sz w:val="21"/>
                <w:szCs w:val="21"/>
                <w:highlight w:val="none"/>
                <w:lang w:val="en-US" w:eastAsia="zh-CN" w:bidi="ar-SA"/>
              </w:rPr>
              <w:t>，满足《一般工业固体废物贮存、处置场污染控制标准》（GB18599-2001）及其修改单要求4、噪声：营运期噪声主要为</w:t>
            </w:r>
            <w:r>
              <w:rPr>
                <w:rFonts w:hint="default" w:ascii="Calibri" w:hAnsi="Calibri" w:eastAsia="宋体" w:cs="Times New Roman"/>
                <w:color w:val="auto"/>
                <w:kern w:val="2"/>
                <w:sz w:val="21"/>
                <w:szCs w:val="21"/>
                <w:highlight w:val="none"/>
                <w:lang w:val="en-US" w:eastAsia="zh-CN" w:bidi="ar-SA"/>
              </w:rPr>
              <w:t>喷粉室、燃烧机等设备运行时产生的噪声</w:t>
            </w:r>
            <w:r>
              <w:rPr>
                <w:rFonts w:hint="eastAsia" w:ascii="Calibri" w:hAnsi="Calibri" w:eastAsia="宋体" w:cs="Times New Roman"/>
                <w:color w:val="auto"/>
                <w:kern w:val="2"/>
                <w:sz w:val="21"/>
                <w:szCs w:val="21"/>
                <w:highlight w:val="none"/>
                <w:lang w:val="en-US" w:eastAsia="zh-CN" w:bidi="ar-SA"/>
              </w:rPr>
              <w:t>，</w:t>
            </w:r>
            <w:r>
              <w:rPr>
                <w:rFonts w:hint="default" w:ascii="Calibri" w:hAnsi="Calibri" w:eastAsia="宋体" w:cs="Times New Roman"/>
                <w:color w:val="auto"/>
                <w:kern w:val="2"/>
                <w:sz w:val="21"/>
                <w:szCs w:val="21"/>
                <w:highlight w:val="none"/>
                <w:lang w:val="en-US" w:eastAsia="zh-CN" w:bidi="ar-SA"/>
              </w:rPr>
              <w:t>采取基础减震、厂房隔声、加强设备维护等降噪措施治理满足</w:t>
            </w:r>
            <w:r>
              <w:rPr>
                <w:rFonts w:hint="eastAsia" w:ascii="Calibri" w:hAnsi="Calibri" w:eastAsia="宋体" w:cs="Times New Roman"/>
                <w:color w:val="auto"/>
                <w:kern w:val="2"/>
                <w:sz w:val="21"/>
                <w:szCs w:val="21"/>
                <w:highlight w:val="none"/>
                <w:lang w:val="en-US" w:eastAsia="zh-CN" w:bidi="ar-SA"/>
              </w:rPr>
              <w:t>《工业企业厂界环境噪声排放标准》（GB12348-2008）3类、4类标准。</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
      <w:suff w:val="nothing"/>
      <w:lvlText w:val="%1."/>
      <w:lvlJc w:val="left"/>
      <w:pPr>
        <w:ind w:left="0" w:firstLine="0"/>
      </w:pPr>
      <w:rPr>
        <w:rFonts w:hint="eastAsia" w:ascii="黑体" w:eastAsia="黑体"/>
        <w:b w:val="0"/>
        <w:i w:val="0"/>
        <w:sz w:val="32"/>
      </w:rPr>
    </w:lvl>
    <w:lvl w:ilvl="1" w:tentative="0">
      <w:start w:val="1"/>
      <w:numFmt w:val="decimal"/>
      <w:suff w:val="nothing"/>
      <w:lvlText w:val="%1.%2."/>
      <w:lvlJc w:val="left"/>
      <w:pPr>
        <w:ind w:left="0" w:firstLine="0"/>
      </w:pPr>
      <w:rPr>
        <w:rFonts w:hint="eastAsia" w:ascii="宋体" w:eastAsia="宋体"/>
        <w:b w:val="0"/>
        <w:i w:val="0"/>
        <w:sz w:val="28"/>
      </w:rPr>
    </w:lvl>
    <w:lvl w:ilvl="2" w:tentative="0">
      <w:start w:val="1"/>
      <w:numFmt w:val="decimal"/>
      <w:suff w:val="nothing"/>
      <w:lvlText w:val="%1.%2.%3."/>
      <w:lvlJc w:val="left"/>
      <w:pPr>
        <w:ind w:left="0" w:firstLine="0"/>
      </w:pPr>
      <w:rPr>
        <w:rFonts w:hint="eastAsia" w:ascii="宋体" w:eastAsia="宋体"/>
        <w:b w:val="0"/>
        <w:i w:val="0"/>
        <w:sz w:val="28"/>
      </w:rPr>
    </w:lvl>
    <w:lvl w:ilvl="3" w:tentative="0">
      <w:start w:val="1"/>
      <w:numFmt w:val="decimal"/>
      <w:suff w:val="nothing"/>
      <w:lvlText w:val="%1.%2.%3.%4."/>
      <w:lvlJc w:val="left"/>
      <w:pPr>
        <w:ind w:left="0" w:firstLine="0"/>
      </w:pPr>
      <w:rPr>
        <w:rFonts w:hint="eastAsia" w:ascii="宋体" w:eastAsia="宋体"/>
        <w:b w:val="0"/>
        <w:i w:val="0"/>
        <w:sz w:val="28"/>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F2078"/>
    <w:rsid w:val="00B00410"/>
    <w:rsid w:val="06310087"/>
    <w:rsid w:val="0E344546"/>
    <w:rsid w:val="10536333"/>
    <w:rsid w:val="107D4ECE"/>
    <w:rsid w:val="147F5946"/>
    <w:rsid w:val="15437EDC"/>
    <w:rsid w:val="1809287F"/>
    <w:rsid w:val="1A284D12"/>
    <w:rsid w:val="1E102181"/>
    <w:rsid w:val="1E1054A4"/>
    <w:rsid w:val="1E291095"/>
    <w:rsid w:val="22326991"/>
    <w:rsid w:val="27CD35AC"/>
    <w:rsid w:val="28DC36DF"/>
    <w:rsid w:val="2B511335"/>
    <w:rsid w:val="2CD24955"/>
    <w:rsid w:val="2CE07143"/>
    <w:rsid w:val="2D1F2078"/>
    <w:rsid w:val="2D8C6A03"/>
    <w:rsid w:val="2E430298"/>
    <w:rsid w:val="2FC327B1"/>
    <w:rsid w:val="3D8E021C"/>
    <w:rsid w:val="405A0106"/>
    <w:rsid w:val="4204167A"/>
    <w:rsid w:val="44B90F8C"/>
    <w:rsid w:val="49CA3AC8"/>
    <w:rsid w:val="4CDD4D9A"/>
    <w:rsid w:val="4FEC47A1"/>
    <w:rsid w:val="53355F53"/>
    <w:rsid w:val="55805800"/>
    <w:rsid w:val="594747EA"/>
    <w:rsid w:val="5954493F"/>
    <w:rsid w:val="5F0B4422"/>
    <w:rsid w:val="5F3D1FE4"/>
    <w:rsid w:val="5F6431D7"/>
    <w:rsid w:val="5F672A73"/>
    <w:rsid w:val="60961548"/>
    <w:rsid w:val="6A245B9A"/>
    <w:rsid w:val="6D535020"/>
    <w:rsid w:val="73631DB7"/>
    <w:rsid w:val="7BD06453"/>
    <w:rsid w:val="7C4D02B2"/>
    <w:rsid w:val="7EBD65B9"/>
    <w:rsid w:val="7F19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qFormat="1" w:uiPriority="99"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ind w:left="100" w:hanging="100" w:hangingChars="100"/>
      <w:outlineLvl w:val="0"/>
    </w:pPr>
    <w:rPr>
      <w:rFonts w:ascii="黑体" w:hAnsi="Arial Black" w:eastAsia="黑体" w:cs="Times New Roman"/>
      <w:kern w:val="44"/>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320" w:lineRule="exact"/>
    </w:pPr>
    <w:rPr>
      <w:rFonts w:ascii="宋体" w:hAnsi="宋体"/>
      <w:sz w:val="24"/>
    </w:rPr>
  </w:style>
  <w:style w:type="paragraph" w:styleId="4">
    <w:name w:val="Body Text Indent"/>
    <w:basedOn w:val="1"/>
    <w:qFormat/>
    <w:uiPriority w:val="0"/>
    <w:pPr>
      <w:spacing w:line="500" w:lineRule="exact"/>
      <w:ind w:firstLine="560" w:firstLineChars="200"/>
    </w:pPr>
    <w:rPr>
      <w:rFonts w:ascii="黑体" w:hAnsi="宋体" w:eastAsia="黑体" w:cs="Times New Roman"/>
      <w:sz w:val="28"/>
    </w:rPr>
  </w:style>
  <w:style w:type="paragraph" w:styleId="5">
    <w:name w:val="Block Text"/>
    <w:basedOn w:val="1"/>
    <w:next w:val="1"/>
    <w:qFormat/>
    <w:uiPriority w:val="0"/>
    <w:pPr>
      <w:spacing w:line="480" w:lineRule="exact"/>
      <w:ind w:left="100" w:right="111" w:firstLine="556"/>
    </w:pPr>
    <w:rPr>
      <w:sz w:val="28"/>
    </w:rPr>
  </w:style>
  <w:style w:type="paragraph" w:styleId="6">
    <w:name w:val="index 2"/>
    <w:basedOn w:val="1"/>
    <w:next w:val="1"/>
    <w:unhideWhenUsed/>
    <w:qFormat/>
    <w:uiPriority w:val="99"/>
    <w:pPr>
      <w:ind w:left="200" w:leftChars="200"/>
    </w:pPr>
  </w:style>
  <w:style w:type="paragraph" w:styleId="7">
    <w:name w:val="Body Text First Indent 2"/>
    <w:basedOn w:val="4"/>
    <w:qFormat/>
    <w:uiPriority w:val="0"/>
    <w:pPr>
      <w:widowControl w:val="0"/>
      <w:adjustRightInd/>
      <w:spacing w:after="120" w:afterLines="0" w:line="360" w:lineRule="auto"/>
      <w:ind w:left="420" w:leftChars="200" w:firstLine="420" w:firstLineChars="200"/>
      <w:jc w:val="both"/>
      <w:textAlignment w:val="auto"/>
    </w:pPr>
    <w:rPr>
      <w:rFonts w:ascii="宋体" w:hAnsi="宋体" w:eastAsia="宋体" w:cs="Times New Roman"/>
      <w:color w:val="000000"/>
      <w:kern w:val="2"/>
      <w:szCs w:val="24"/>
      <w:lang w:eastAsia="zh-CN" w:bidi="ar-SA"/>
    </w:rPr>
  </w:style>
  <w:style w:type="character" w:styleId="10">
    <w:name w:val="annotation reference"/>
    <w:basedOn w:val="9"/>
    <w:qFormat/>
    <w:uiPriority w:val="0"/>
    <w:rPr>
      <w:rFonts w:ascii="Calibri" w:hAnsi="Calibri" w:eastAsia="宋体" w:cs="Times New Roman"/>
      <w:sz w:val="21"/>
      <w:szCs w:val="21"/>
    </w:rPr>
  </w:style>
  <w:style w:type="paragraph" w:customStyle="1" w:styleId="11">
    <w:name w:val="00"/>
    <w:basedOn w:val="1"/>
    <w:qFormat/>
    <w:uiPriority w:val="0"/>
    <w:pPr>
      <w:spacing w:line="520" w:lineRule="exact"/>
      <w:ind w:firstLine="200" w:firstLineChars="200"/>
    </w:pPr>
    <w:rPr>
      <w:rFonts w:ascii="宋体" w:hAnsi="宋体" w:cs="宋体"/>
      <w:sz w:val="24"/>
      <w:szCs w:val="20"/>
    </w:rPr>
  </w:style>
  <w:style w:type="paragraph" w:customStyle="1" w:styleId="12">
    <w:name w:val="正文 03"/>
    <w:basedOn w:val="1"/>
    <w:qFormat/>
    <w:uiPriority w:val="0"/>
    <w:pPr>
      <w:autoSpaceDE w:val="0"/>
      <w:autoSpaceDN w:val="0"/>
      <w:adjustRightInd w:val="0"/>
      <w:textAlignment w:val="baseline"/>
    </w:pPr>
    <w:rPr>
      <w:rFonts w:eastAsia="楷体_GB2312"/>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zha\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2018-11-09T01:12:00Z</dcterms:created>
  <dc:creator>mqzha</dc:creator>
  <cp:lastModifiedBy>南是故乡</cp:lastModifiedBy>
  <dcterms:modified xsi:type="dcterms:W3CDTF">2021-01-13T02:33:38Z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