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审批意见                                              民环审[2021]第 002号</w:t>
      </w:r>
    </w:p>
    <w:p>
      <w:pPr>
        <w:pStyle w:val="4"/>
        <w:spacing w:line="240" w:lineRule="auto"/>
        <w:rPr>
          <w:rFonts w:hint="eastAsia"/>
          <w:lang w:val="en-US" w:eastAsia="zh-CN"/>
        </w:rPr>
      </w:pPr>
    </w:p>
    <w:p>
      <w:pPr>
        <w:spacing w:line="240" w:lineRule="auto"/>
        <w:jc w:val="center"/>
        <w:rPr>
          <w:rFonts w:hint="eastAsia" w:eastAsia="黑体"/>
          <w:b/>
          <w:spacing w:val="-14"/>
          <w:sz w:val="32"/>
          <w:szCs w:val="32"/>
          <w:lang w:val="en-US" w:eastAsia="zh-CN"/>
        </w:rPr>
      </w:pPr>
      <w:r>
        <w:rPr>
          <w:rFonts w:eastAsia="黑体"/>
          <w:b/>
          <w:spacing w:val="-14"/>
          <w:sz w:val="32"/>
          <w:szCs w:val="32"/>
        </w:rPr>
        <w:t>关于</w:t>
      </w:r>
      <w:r>
        <w:rPr>
          <w:rFonts w:hint="eastAsia" w:eastAsia="黑体"/>
          <w:b/>
          <w:spacing w:val="-14"/>
          <w:sz w:val="32"/>
          <w:szCs w:val="32"/>
          <w:lang w:val="en-US" w:eastAsia="zh-CN"/>
        </w:rPr>
        <w:t>民权绿源环保科技有限公司年产2万立方制冷用保温材料项目</w:t>
      </w:r>
    </w:p>
    <w:p>
      <w:pPr>
        <w:spacing w:line="240" w:lineRule="auto"/>
        <w:jc w:val="center"/>
        <w:rPr>
          <w:rFonts w:eastAsia="黑体"/>
          <w:b/>
          <w:spacing w:val="-14"/>
          <w:sz w:val="32"/>
          <w:szCs w:val="32"/>
        </w:rPr>
      </w:pPr>
      <w:r>
        <w:rPr>
          <w:rFonts w:eastAsia="黑体"/>
          <w:b/>
          <w:spacing w:val="-14"/>
          <w:sz w:val="32"/>
          <w:szCs w:val="32"/>
        </w:rPr>
        <w:t>环境影响报告表</w:t>
      </w:r>
      <w:r>
        <w:rPr>
          <w:rFonts w:hint="eastAsia" w:eastAsia="黑体"/>
          <w:b/>
          <w:spacing w:val="-14"/>
          <w:sz w:val="32"/>
          <w:szCs w:val="32"/>
        </w:rPr>
        <w:t>的</w:t>
      </w:r>
      <w:r>
        <w:rPr>
          <w:rFonts w:eastAsia="黑体"/>
          <w:b/>
          <w:spacing w:val="-14"/>
          <w:sz w:val="32"/>
          <w:szCs w:val="32"/>
        </w:rPr>
        <w:t>批复</w:t>
      </w:r>
    </w:p>
    <w:p>
      <w:pPr>
        <w:spacing w:line="360" w:lineRule="auto"/>
        <w:jc w:val="center"/>
        <w:rPr>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民权绿源环保科技有限公司：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你公司报送的由山东程乐环保科技有限责任公司编制完成的《民权绿源环保科技有限公司年产2万立方制冷用保温材料项目环境影响报告表（报批版）》（以下简称“报告表”）已收悉。</w:t>
      </w:r>
      <w:r>
        <w:rPr>
          <w:rFonts w:hint="eastAsia" w:ascii="仿宋" w:hAnsi="仿宋" w:eastAsia="仿宋" w:cs="仿宋"/>
          <w:sz w:val="24"/>
          <w:szCs w:val="24"/>
          <w:lang w:val="en-US" w:eastAsia="zh-CN"/>
        </w:rPr>
        <w:t>项目拟审批事项已在民权县政府网站公示期满，无异议。经研究，批复如下：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二、你公司应向社会主动公开经批准的《报告表》，并接受相关方的咨询。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三、你公司应全面落实《报告表》提出的各项目环境保护措施，确保各项环境保护设施与主体工程同时设计、同时施工、同时投入使用，确保各项污染物达标排放。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（一）向设计单位提供《报告表》和本批复文件，确保项目设计按照环境保护设计规范要求，落实防治环境污染和生态破坏的措施以及环保设施投资概算。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（二）依据《报告表》和本批复文件，对项目建设过程中产生的废水、废气、固体废物、噪声等污染，以及因施工对自然、生态环境造成的破坏，采取相应的防治措施。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（三）项目运行时，外排污染物应满足以下要求：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1、废水：</w:t>
      </w:r>
      <w:r>
        <w:rPr>
          <w:rFonts w:hint="eastAsia" w:ascii="仿宋" w:hAnsi="仿宋" w:eastAsia="仿宋" w:cs="仿宋"/>
          <w:sz w:val="24"/>
          <w:szCs w:val="24"/>
          <w:lang w:val="en-US" w:eastAsia="zh-CN"/>
        </w:rPr>
        <w:t>生活污水经化粪池处理，满足《污水综合排放标准》（</w:t>
      </w:r>
      <w:r>
        <w:rPr>
          <w:rFonts w:hint="default" w:ascii="仿宋" w:hAnsi="仿宋" w:eastAsia="仿宋" w:cs="仿宋"/>
          <w:sz w:val="24"/>
          <w:szCs w:val="24"/>
          <w:lang w:val="en-US" w:eastAsia="zh-CN"/>
        </w:rPr>
        <w:t>GB8978-1996</w:t>
      </w:r>
      <w:r>
        <w:rPr>
          <w:rFonts w:hint="eastAsia" w:ascii="仿宋" w:hAnsi="仿宋" w:eastAsia="仿宋" w:cs="仿宋"/>
          <w:sz w:val="24"/>
          <w:szCs w:val="24"/>
          <w:lang w:val="en-US" w:eastAsia="zh-CN"/>
        </w:rPr>
        <w:t>）三级标准和民权县污水处理厂进水指标要求，经污水管网排入民权县污水处理厂处理，不得随意外排。</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2、废气：</w:t>
      </w:r>
      <w:r>
        <w:rPr>
          <w:rFonts w:hint="default" w:ascii="仿宋" w:hAnsi="仿宋" w:eastAsia="仿宋" w:cs="仿宋"/>
          <w:sz w:val="24"/>
          <w:szCs w:val="24"/>
          <w:lang w:val="en-US" w:eastAsia="zh-CN"/>
        </w:rPr>
        <w:t>搅拌罐搅拌、发泡机发泡、注入模具以及固化过程产生的废气</w:t>
      </w:r>
      <w:r>
        <w:rPr>
          <w:rFonts w:hint="eastAsia" w:ascii="仿宋" w:hAnsi="仿宋" w:eastAsia="仿宋" w:cs="仿宋"/>
          <w:sz w:val="24"/>
          <w:szCs w:val="24"/>
          <w:lang w:val="en-US" w:eastAsia="zh-CN"/>
        </w:rPr>
        <w:t>分别</w:t>
      </w:r>
      <w:r>
        <w:rPr>
          <w:rFonts w:hint="default" w:ascii="仿宋" w:hAnsi="仿宋" w:eastAsia="仿宋" w:cs="仿宋"/>
          <w:sz w:val="24"/>
          <w:szCs w:val="24"/>
          <w:lang w:val="en-US" w:eastAsia="zh-CN"/>
        </w:rPr>
        <w:t>经集气罩收集</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通过同一套“</w:t>
      </w:r>
      <w:r>
        <w:rPr>
          <w:rFonts w:hint="eastAsia" w:ascii="仿宋" w:hAnsi="仿宋" w:eastAsia="仿宋" w:cs="仿宋"/>
          <w:sz w:val="24"/>
          <w:szCs w:val="24"/>
          <w:lang w:val="en-US" w:eastAsia="zh-CN"/>
        </w:rPr>
        <w:t>UV光氧催化装置+活性炭吸附装置</w:t>
      </w:r>
      <w:r>
        <w:rPr>
          <w:rFonts w:hint="default" w:ascii="仿宋" w:hAnsi="仿宋" w:eastAsia="仿宋" w:cs="仿宋"/>
          <w:sz w:val="24"/>
          <w:szCs w:val="24"/>
          <w:lang w:val="en-US" w:eastAsia="zh-CN"/>
        </w:rPr>
        <w:t>”进行处理，非甲烷总烃、甲苯二异氰酸酯有组织排放浓度</w:t>
      </w:r>
      <w:r>
        <w:rPr>
          <w:rFonts w:hint="eastAsia" w:ascii="仿宋" w:hAnsi="仿宋" w:eastAsia="仿宋" w:cs="仿宋"/>
          <w:sz w:val="24"/>
          <w:szCs w:val="24"/>
          <w:lang w:val="en-US" w:eastAsia="zh-CN"/>
        </w:rPr>
        <w:t>应</w:t>
      </w:r>
      <w:r>
        <w:rPr>
          <w:rFonts w:hint="default" w:ascii="仿宋" w:hAnsi="仿宋" w:eastAsia="仿宋" w:cs="仿宋"/>
          <w:sz w:val="24"/>
          <w:szCs w:val="24"/>
          <w:lang w:val="en-US" w:eastAsia="zh-CN"/>
        </w:rPr>
        <w:t>满足《合成树脂工业污染物排放标准》（GB31572-2015）表4大气污染物排放限值要求，非甲烷总烃有组织排放浓度同时满足《关于全省开展工业企业挥发性有机物专项治理工作中排放建议值的通知》（豫环攻坚办（2017）162号）的要求</w:t>
      </w:r>
      <w:r>
        <w:rPr>
          <w:rFonts w:hint="eastAsia" w:ascii="仿宋" w:hAnsi="仿宋" w:eastAsia="仿宋" w:cs="仿宋"/>
          <w:sz w:val="24"/>
          <w:szCs w:val="24"/>
          <w:lang w:val="en-US" w:eastAsia="zh-CN"/>
        </w:rPr>
        <w:t>，然后</w:t>
      </w:r>
      <w:r>
        <w:rPr>
          <w:rFonts w:hint="default" w:ascii="仿宋" w:hAnsi="仿宋" w:eastAsia="仿宋" w:cs="仿宋"/>
          <w:sz w:val="24"/>
          <w:szCs w:val="24"/>
          <w:lang w:val="en-US" w:eastAsia="zh-CN"/>
        </w:rPr>
        <w:t>由15m高排气筒排放</w:t>
      </w:r>
      <w:r>
        <w:rPr>
          <w:rFonts w:hint="eastAsia" w:ascii="仿宋" w:hAnsi="仿宋" w:eastAsia="仿宋" w:cs="仿宋"/>
          <w:sz w:val="24"/>
          <w:szCs w:val="24"/>
          <w:lang w:val="en-US" w:eastAsia="zh-CN"/>
        </w:rPr>
        <w:t>；无组织废气</w:t>
      </w:r>
      <w:r>
        <w:rPr>
          <w:rFonts w:hint="default" w:ascii="仿宋" w:hAnsi="仿宋" w:eastAsia="仿宋" w:cs="仿宋"/>
          <w:sz w:val="24"/>
          <w:szCs w:val="24"/>
          <w:lang w:val="en-US" w:eastAsia="zh-CN"/>
        </w:rPr>
        <w:t>非甲烷总烃</w:t>
      </w:r>
      <w:r>
        <w:rPr>
          <w:rFonts w:hint="eastAsia" w:ascii="仿宋" w:hAnsi="仿宋" w:eastAsia="仿宋" w:cs="仿宋"/>
          <w:sz w:val="24"/>
          <w:szCs w:val="24"/>
          <w:lang w:val="en-US" w:eastAsia="zh-CN"/>
        </w:rPr>
        <w:t>应</w:t>
      </w:r>
      <w:r>
        <w:rPr>
          <w:rFonts w:hint="default" w:ascii="仿宋" w:hAnsi="仿宋" w:eastAsia="仿宋" w:cs="仿宋"/>
          <w:sz w:val="24"/>
          <w:szCs w:val="24"/>
          <w:lang w:val="en-US" w:eastAsia="zh-CN"/>
        </w:rPr>
        <w:t>满足能够满足《合成树脂工业污染物排放标准》（GB31572-2015）表9企业边界大气污染物浓度限值</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同时</w:t>
      </w:r>
      <w:r>
        <w:rPr>
          <w:rFonts w:hint="eastAsia" w:ascii="仿宋" w:hAnsi="仿宋" w:eastAsia="仿宋" w:cs="仿宋"/>
          <w:sz w:val="24"/>
          <w:szCs w:val="24"/>
          <w:lang w:val="en-US" w:eastAsia="zh-CN"/>
        </w:rPr>
        <w:t>满足</w:t>
      </w:r>
      <w:r>
        <w:rPr>
          <w:rFonts w:hint="default" w:ascii="仿宋" w:hAnsi="仿宋" w:eastAsia="仿宋" w:cs="仿宋"/>
          <w:sz w:val="24"/>
          <w:szCs w:val="24"/>
          <w:lang w:val="en-US" w:eastAsia="zh-CN"/>
        </w:rPr>
        <w:t>豫环攻坚办（2017）162号《关于全省开展工业企业挥发性有机物专项治理工作中排放建议值的通知》</w:t>
      </w:r>
      <w:r>
        <w:rPr>
          <w:rFonts w:hint="eastAsia" w:ascii="仿宋" w:hAnsi="仿宋" w:eastAsia="仿宋" w:cs="仿宋"/>
          <w:sz w:val="24"/>
          <w:szCs w:val="24"/>
          <w:lang w:val="en-US" w:eastAsia="zh-CN"/>
        </w:rPr>
        <w:t>中</w:t>
      </w:r>
      <w:r>
        <w:rPr>
          <w:rFonts w:hint="default" w:ascii="仿宋" w:hAnsi="仿宋" w:eastAsia="仿宋" w:cs="仿宋"/>
          <w:sz w:val="24"/>
          <w:szCs w:val="24"/>
          <w:lang w:val="en-US" w:eastAsia="zh-CN"/>
        </w:rPr>
        <w:t>非甲烷总烃无组织排放浓度</w:t>
      </w:r>
      <w:r>
        <w:rPr>
          <w:rFonts w:hint="eastAsia" w:ascii="仿宋" w:hAnsi="仿宋" w:eastAsia="仿宋" w:cs="仿宋"/>
          <w:sz w:val="24"/>
          <w:szCs w:val="24"/>
          <w:lang w:val="en-US" w:eastAsia="zh-CN"/>
        </w:rPr>
        <w:t>限值要求，同时要</w:t>
      </w:r>
      <w:r>
        <w:rPr>
          <w:rFonts w:hint="default" w:ascii="仿宋" w:hAnsi="仿宋" w:eastAsia="仿宋" w:cs="仿宋"/>
          <w:sz w:val="24"/>
          <w:szCs w:val="24"/>
          <w:lang w:val="en-US" w:eastAsia="zh-CN"/>
        </w:rPr>
        <w:t>加强设备检修，提高集气效率，减少无组织</w:t>
      </w:r>
      <w:r>
        <w:rPr>
          <w:rFonts w:hint="eastAsia" w:ascii="仿宋" w:hAnsi="仿宋" w:eastAsia="仿宋" w:cs="仿宋"/>
          <w:sz w:val="24"/>
          <w:szCs w:val="24"/>
          <w:lang w:val="en-US" w:eastAsia="zh-CN"/>
        </w:rPr>
        <w:t>废气</w:t>
      </w:r>
      <w:r>
        <w:rPr>
          <w:rFonts w:hint="default" w:ascii="仿宋" w:hAnsi="仿宋" w:eastAsia="仿宋" w:cs="仿宋"/>
          <w:sz w:val="24"/>
          <w:szCs w:val="24"/>
          <w:lang w:val="en-US" w:eastAsia="zh-CN"/>
        </w:rPr>
        <w:t>排放量。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、噪声：</w:t>
      </w:r>
      <w:r>
        <w:rPr>
          <w:rFonts w:hint="eastAsia" w:ascii="仿宋" w:hAnsi="仿宋" w:eastAsia="仿宋" w:cs="仿宋"/>
          <w:sz w:val="24"/>
          <w:szCs w:val="24"/>
          <w:lang w:val="en-US" w:eastAsia="zh-CN"/>
        </w:rPr>
        <w:t>工程选用低噪声设备，采取减振、隔声等降噪措施对设备噪声进行控制，厂界噪声应满足《工业企业厂界环境噪声排放标准》（</w:t>
      </w:r>
      <w:r>
        <w:rPr>
          <w:rFonts w:hint="default" w:ascii="仿宋" w:hAnsi="仿宋" w:eastAsia="仿宋" w:cs="仿宋"/>
          <w:sz w:val="24"/>
          <w:szCs w:val="24"/>
          <w:lang w:val="en-US" w:eastAsia="zh-CN"/>
        </w:rPr>
        <w:t>GB12348-2008</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类标准中昼间小于</w:t>
      </w:r>
      <w:r>
        <w:rPr>
          <w:rFonts w:hint="default" w:ascii="仿宋" w:hAnsi="仿宋" w:eastAsia="仿宋" w:cs="仿宋"/>
          <w:sz w:val="24"/>
          <w:szCs w:val="24"/>
          <w:lang w:val="en-US" w:eastAsia="zh-CN"/>
        </w:rPr>
        <w:t>65dB(A)</w:t>
      </w:r>
      <w:r>
        <w:rPr>
          <w:rFonts w:hint="eastAsia" w:ascii="仿宋" w:hAnsi="仿宋" w:eastAsia="仿宋" w:cs="仿宋"/>
          <w:sz w:val="24"/>
          <w:szCs w:val="24"/>
          <w:lang w:val="en-US" w:eastAsia="zh-CN"/>
        </w:rPr>
        <w:t>的要求。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、固废：①废边角料收集后暂存，定期委托回收公司进行回收</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②生活垃圾集中收集后运往垃圾中转站进行处理</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③废原材料包装桶</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废活性炭</w:t>
      </w:r>
      <w:r>
        <w:rPr>
          <w:rFonts w:hint="eastAsia" w:ascii="仿宋" w:hAnsi="仿宋" w:eastAsia="仿宋" w:cs="仿宋"/>
          <w:sz w:val="24"/>
          <w:szCs w:val="24"/>
          <w:lang w:val="en-US" w:eastAsia="zh-CN"/>
        </w:rPr>
        <w:t>属于危险废物，</w:t>
      </w:r>
      <w:r>
        <w:rPr>
          <w:rFonts w:hint="default" w:ascii="仿宋" w:hAnsi="仿宋" w:eastAsia="仿宋" w:cs="仿宋"/>
          <w:sz w:val="24"/>
          <w:szCs w:val="24"/>
          <w:lang w:val="en-US" w:eastAsia="zh-CN"/>
        </w:rPr>
        <w:t>存放于危险废物暂存间，定期委托有资质的危险废物处理单位安全处置。</w:t>
      </w:r>
      <w:r>
        <w:rPr>
          <w:rFonts w:hint="eastAsia" w:ascii="仿宋" w:hAnsi="仿宋" w:eastAsia="仿宋" w:cs="仿宋"/>
          <w:sz w:val="24"/>
          <w:szCs w:val="24"/>
          <w:lang w:val="en-US" w:eastAsia="zh-CN"/>
        </w:rPr>
        <w:t>一般固废应满足</w:t>
      </w:r>
      <w:r>
        <w:rPr>
          <w:rFonts w:hint="default" w:ascii="仿宋" w:hAnsi="仿宋" w:eastAsia="仿宋" w:cs="仿宋"/>
          <w:sz w:val="24"/>
          <w:szCs w:val="24"/>
          <w:lang w:val="en-US" w:eastAsia="zh-CN"/>
        </w:rPr>
        <w:t>《一般工业固体废物贮存、处置场污染控制标准》（GB 18599-2001）及其2013年修改单</w:t>
      </w:r>
      <w:r>
        <w:rPr>
          <w:rFonts w:hint="eastAsia" w:ascii="仿宋" w:hAnsi="仿宋" w:eastAsia="仿宋" w:cs="仿宋"/>
          <w:sz w:val="24"/>
          <w:szCs w:val="24"/>
          <w:lang w:val="en-US" w:eastAsia="zh-CN"/>
        </w:rPr>
        <w:t>，危险废物应满足</w:t>
      </w:r>
      <w:r>
        <w:rPr>
          <w:rFonts w:hint="default" w:ascii="仿宋" w:hAnsi="仿宋" w:eastAsia="仿宋" w:cs="仿宋"/>
          <w:sz w:val="24"/>
          <w:szCs w:val="24"/>
          <w:lang w:val="en-US" w:eastAsia="zh-CN"/>
        </w:rPr>
        <w:t>《危险废物贮存污染控制标准》（GB18597-2001）及其2013年修改单</w:t>
      </w:r>
      <w:r>
        <w:rPr>
          <w:rFonts w:hint="eastAsia" w:ascii="仿宋" w:hAnsi="仿宋" w:eastAsia="仿宋" w:cs="仿宋"/>
          <w:sz w:val="24"/>
          <w:szCs w:val="24"/>
          <w:lang w:val="en-US" w:eastAsia="zh-CN"/>
        </w:rPr>
        <w:t>的要求。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（五）如果今后国家或者我省颁布污染物排放限值的新标准，届时你公司应按新的排放标准执行。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四、项目建成后，按相关规定及时进行项目竣工环境保护验收。项目建设及运行过程中，由民权县环境保护局负责项目的日常环境管理工作。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六、对此批复若存有异议，可自该文下达之日起60日内向河南省环保厅、商丘市环保局或民权县人民政府申请复议，逾期复议无效。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960" w:firstLineChars="2900"/>
        <w:textAlignment w:val="auto"/>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2021年1月20日</w:t>
      </w:r>
    </w:p>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2F72450"/>
    <w:rsid w:val="00000196"/>
    <w:rsid w:val="00002FE5"/>
    <w:rsid w:val="000826E0"/>
    <w:rsid w:val="0009411E"/>
    <w:rsid w:val="000C7936"/>
    <w:rsid w:val="000D0072"/>
    <w:rsid w:val="000D6213"/>
    <w:rsid w:val="000E2394"/>
    <w:rsid w:val="00114960"/>
    <w:rsid w:val="00137DE5"/>
    <w:rsid w:val="00172393"/>
    <w:rsid w:val="00175A80"/>
    <w:rsid w:val="001E5474"/>
    <w:rsid w:val="002035E9"/>
    <w:rsid w:val="0023520D"/>
    <w:rsid w:val="002A404E"/>
    <w:rsid w:val="002B13AB"/>
    <w:rsid w:val="002F1077"/>
    <w:rsid w:val="003014B1"/>
    <w:rsid w:val="003955E9"/>
    <w:rsid w:val="003E3E4B"/>
    <w:rsid w:val="003E3E90"/>
    <w:rsid w:val="00425F79"/>
    <w:rsid w:val="00465F79"/>
    <w:rsid w:val="004824B1"/>
    <w:rsid w:val="00483ED3"/>
    <w:rsid w:val="004E7FCF"/>
    <w:rsid w:val="004F7F1C"/>
    <w:rsid w:val="0052539C"/>
    <w:rsid w:val="00575373"/>
    <w:rsid w:val="006177C6"/>
    <w:rsid w:val="0064136E"/>
    <w:rsid w:val="00653A8C"/>
    <w:rsid w:val="006B2190"/>
    <w:rsid w:val="006E5D8B"/>
    <w:rsid w:val="00702B2D"/>
    <w:rsid w:val="00716C75"/>
    <w:rsid w:val="007510DD"/>
    <w:rsid w:val="00752A3F"/>
    <w:rsid w:val="00773AA5"/>
    <w:rsid w:val="00777949"/>
    <w:rsid w:val="00785EC0"/>
    <w:rsid w:val="007A1B2D"/>
    <w:rsid w:val="007E11E7"/>
    <w:rsid w:val="0083127E"/>
    <w:rsid w:val="00871CC8"/>
    <w:rsid w:val="008B1FCE"/>
    <w:rsid w:val="008F5F29"/>
    <w:rsid w:val="00924F32"/>
    <w:rsid w:val="009A3A33"/>
    <w:rsid w:val="009B0E83"/>
    <w:rsid w:val="009B61EC"/>
    <w:rsid w:val="009C456F"/>
    <w:rsid w:val="00A42BDD"/>
    <w:rsid w:val="00A6136A"/>
    <w:rsid w:val="00A83DFF"/>
    <w:rsid w:val="00A8688A"/>
    <w:rsid w:val="00A93E01"/>
    <w:rsid w:val="00AC211F"/>
    <w:rsid w:val="00B71152"/>
    <w:rsid w:val="00B82A97"/>
    <w:rsid w:val="00B95A86"/>
    <w:rsid w:val="00C00B05"/>
    <w:rsid w:val="00C33CD7"/>
    <w:rsid w:val="00C60A64"/>
    <w:rsid w:val="00CE5BB2"/>
    <w:rsid w:val="00D277F4"/>
    <w:rsid w:val="00D476BE"/>
    <w:rsid w:val="00D83101"/>
    <w:rsid w:val="00DC090E"/>
    <w:rsid w:val="00DC4F51"/>
    <w:rsid w:val="00DE75C1"/>
    <w:rsid w:val="00DF3F1F"/>
    <w:rsid w:val="00DF5060"/>
    <w:rsid w:val="00E02BC4"/>
    <w:rsid w:val="00E50552"/>
    <w:rsid w:val="00E75163"/>
    <w:rsid w:val="02623E47"/>
    <w:rsid w:val="02F72450"/>
    <w:rsid w:val="06600C79"/>
    <w:rsid w:val="09E74CCE"/>
    <w:rsid w:val="114105BA"/>
    <w:rsid w:val="18AE1921"/>
    <w:rsid w:val="1AD67029"/>
    <w:rsid w:val="1B7C72FE"/>
    <w:rsid w:val="1C5B6EBF"/>
    <w:rsid w:val="210E77EA"/>
    <w:rsid w:val="3DA03245"/>
    <w:rsid w:val="405F0B00"/>
    <w:rsid w:val="444306B4"/>
    <w:rsid w:val="57690E03"/>
    <w:rsid w:val="620F0E3C"/>
    <w:rsid w:val="63C17BCC"/>
    <w:rsid w:val="6A6A2F53"/>
    <w:rsid w:val="6AA6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spacing w:line="500" w:lineRule="exact"/>
    </w:pPr>
    <w:rPr>
      <w:rFonts w:ascii="宋体" w:hAnsi="宋体" w:eastAsia="宋体" w:cs="宋体"/>
      <w:color w:val="000000"/>
      <w:sz w:val="24"/>
      <w:szCs w:val="24"/>
      <w:lang w:val="en-US" w:eastAsia="zh-CN" w:bidi="ar-SA"/>
    </w:rPr>
  </w:style>
  <w:style w:type="paragraph" w:styleId="4">
    <w:name w:val="Block Text"/>
    <w:basedOn w:val="1"/>
    <w:next w:val="1"/>
    <w:qFormat/>
    <w:uiPriority w:val="0"/>
    <w:pPr>
      <w:snapToGrid w:val="0"/>
      <w:spacing w:before="100" w:beforeAutospacing="1" w:after="100" w:afterAutospacing="1" w:line="408" w:lineRule="auto"/>
      <w:ind w:left="-113" w:right="-510" w:firstLine="51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226</Words>
  <Characters>1293</Characters>
  <Lines>10</Lines>
  <Paragraphs>3</Paragraphs>
  <TotalTime>4</TotalTime>
  <ScaleCrop>false</ScaleCrop>
  <LinksUpToDate>false</LinksUpToDate>
  <CharactersWithSpaces>1516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南是故乡</cp:lastModifiedBy>
  <dcterms:modified xsi:type="dcterms:W3CDTF">2021-01-19T01:23:27Z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