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r>
        <w:rPr>
          <w:rFonts w:hint="eastAsia" w:ascii="宋体" w:hAnsi="宋体" w:cs="宋体"/>
          <w:b/>
          <w:color w:val="000000"/>
          <w:kern w:val="0"/>
          <w:sz w:val="44"/>
          <w:szCs w:val="44"/>
          <w:shd w:val="clear" w:color="auto" w:fill="FFFFFF"/>
          <w:lang w:bidi="ar"/>
        </w:rPr>
        <w:t>民权县</w:t>
      </w:r>
      <w:r>
        <w:rPr>
          <w:rFonts w:hint="eastAsia" w:ascii="宋体" w:hAnsi="宋体" w:cs="宋体"/>
          <w:b/>
          <w:color w:val="000000"/>
          <w:kern w:val="0"/>
          <w:sz w:val="44"/>
          <w:szCs w:val="44"/>
          <w:shd w:val="clear" w:color="auto" w:fill="FFFFFF"/>
          <w:lang w:val="en-US" w:eastAsia="zh-CN" w:bidi="ar"/>
        </w:rPr>
        <w:t>物流管理办公室</w:t>
      </w:r>
      <w:r>
        <w:rPr>
          <w:rFonts w:hint="eastAsia" w:ascii="宋体" w:hAnsi="宋体" w:cs="宋体"/>
          <w:b/>
          <w:color w:val="000000"/>
          <w:kern w:val="0"/>
          <w:sz w:val="44"/>
          <w:szCs w:val="44"/>
          <w:shd w:val="clear" w:color="auto" w:fill="FFFFFF"/>
          <w:lang w:bidi="ar"/>
        </w:rPr>
        <w:t>2019年</w:t>
      </w:r>
    </w:p>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r>
        <w:rPr>
          <w:rFonts w:hint="eastAsia" w:ascii="宋体" w:hAnsi="宋体" w:cs="宋体"/>
          <w:b/>
          <w:color w:val="000000"/>
          <w:kern w:val="0"/>
          <w:sz w:val="44"/>
          <w:szCs w:val="44"/>
          <w:shd w:val="clear" w:color="auto" w:fill="FFFFFF"/>
          <w:lang w:bidi="ar"/>
        </w:rPr>
        <w:t>预算公开情况说明</w:t>
      </w:r>
    </w:p>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p>
    <w:p>
      <w:pPr>
        <w:widowControl/>
        <w:shd w:val="clear" w:color="auto" w:fill="FFFFFF"/>
        <w:spacing w:line="390" w:lineRule="atLeast"/>
        <w:ind w:firstLine="300"/>
        <w:jc w:val="center"/>
        <w:rPr>
          <w:rFonts w:hint="eastAsia" w:ascii="文星楷体" w:hAnsi="文星楷体" w:eastAsia="文星楷体" w:cs="文星楷体"/>
          <w:sz w:val="44"/>
          <w:szCs w:val="44"/>
        </w:rPr>
      </w:pPr>
      <w:r>
        <w:rPr>
          <w:rFonts w:hint="eastAsia" w:ascii="文星楷体" w:hAnsi="文星楷体" w:eastAsia="文星楷体" w:cs="文星楷体"/>
          <w:sz w:val="44"/>
          <w:szCs w:val="44"/>
        </w:rPr>
        <w:t>目  录</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一、部门主要职能</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二、部门预算单位机构设置情况</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三、部门预算收支情况说明</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四、名词解释</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附件：2019年度部门预算公开表</w:t>
      </w:r>
    </w:p>
    <w:p>
      <w:pPr>
        <w:widowControl/>
        <w:shd w:val="clear" w:color="auto" w:fill="FFFFFF"/>
        <w:spacing w:line="390" w:lineRule="atLeast"/>
        <w:ind w:firstLine="1440" w:firstLineChars="4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、部门收入总表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、部门支出总表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、财政拨款收支总表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、一般公共预算支出情况表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、一般公共预算基本支出情况表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、政府性基金预算支出情况表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、一般公共预算“三公”经费支出情况表</w:t>
      </w:r>
    </w:p>
    <w:p>
      <w:pPr>
        <w:widowControl/>
        <w:shd w:val="clear" w:color="auto" w:fill="FFFFFF"/>
        <w:spacing w:line="390" w:lineRule="atLeast"/>
        <w:jc w:val="left"/>
        <w:rPr>
          <w:rFonts w:hint="eastAsia" w:ascii="宋体" w:hAnsi="宋体" w:cs="Arial"/>
          <w:sz w:val="32"/>
          <w:szCs w:val="32"/>
        </w:rPr>
      </w:pPr>
    </w:p>
    <w:p>
      <w:pPr>
        <w:widowControl/>
        <w:shd w:val="clear" w:color="auto" w:fill="FFFFFF"/>
        <w:spacing w:line="390" w:lineRule="atLeast"/>
        <w:ind w:firstLine="300"/>
        <w:jc w:val="left"/>
        <w:rPr>
          <w:rFonts w:hint="eastAsia" w:ascii="宋体" w:hAnsi="宋体" w:cs="Arial"/>
          <w:sz w:val="32"/>
          <w:szCs w:val="32"/>
        </w:rPr>
      </w:pPr>
    </w:p>
    <w:p>
      <w:pPr>
        <w:widowControl/>
        <w:shd w:val="clear" w:color="auto" w:fill="FFFFFF"/>
        <w:spacing w:line="390" w:lineRule="atLeast"/>
        <w:ind w:firstLine="300"/>
        <w:jc w:val="left"/>
        <w:rPr>
          <w:rFonts w:hint="eastAsia" w:ascii="宋体" w:hAnsi="宋体" w:cs="Arial"/>
          <w:sz w:val="32"/>
          <w:szCs w:val="32"/>
        </w:rPr>
      </w:pPr>
    </w:p>
    <w:p>
      <w:pPr>
        <w:widowControl/>
        <w:shd w:val="clear" w:color="auto" w:fill="FFFFFF"/>
        <w:spacing w:line="390" w:lineRule="atLeast"/>
        <w:ind w:firstLine="300"/>
        <w:jc w:val="left"/>
        <w:rPr>
          <w:rFonts w:hint="eastAsia" w:ascii="宋体" w:hAnsi="宋体" w:cs="Arial"/>
          <w:sz w:val="32"/>
          <w:szCs w:val="32"/>
        </w:rPr>
      </w:pPr>
    </w:p>
    <w:p>
      <w:pPr>
        <w:widowControl/>
        <w:shd w:val="clear" w:color="auto" w:fill="FFFFFF"/>
        <w:spacing w:line="390" w:lineRule="atLeast"/>
        <w:ind w:firstLine="300"/>
        <w:jc w:val="left"/>
        <w:rPr>
          <w:rFonts w:hint="eastAsia" w:ascii="宋体" w:hAnsi="宋体" w:cs="Arial"/>
          <w:sz w:val="32"/>
          <w:szCs w:val="32"/>
        </w:rPr>
      </w:pPr>
    </w:p>
    <w:p>
      <w:pPr>
        <w:widowControl/>
        <w:numPr>
          <w:ilvl w:val="0"/>
          <w:numId w:val="1"/>
        </w:numPr>
        <w:shd w:val="clear" w:color="auto" w:fill="FFFFFF"/>
        <w:spacing w:line="390" w:lineRule="atLeast"/>
        <w:ind w:firstLine="645"/>
        <w:jc w:val="left"/>
        <w:rPr>
          <w:rFonts w:hint="eastAsia" w:ascii="黑体" w:hAnsi="黑体" w:eastAsia="黑体" w:cs="黑体"/>
          <w:sz w:val="32"/>
          <w:szCs w:val="32"/>
        </w:rPr>
      </w:pPr>
      <w:r>
        <w:rPr>
          <w:rFonts w:hint="eastAsia" w:ascii="黑体" w:hAnsi="黑体" w:eastAsia="黑体" w:cs="黑体"/>
          <w:sz w:val="32"/>
          <w:szCs w:val="32"/>
        </w:rPr>
        <w:t>部门主要职责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right="0" w:rightChars="0" w:firstLine="640" w:firstLineChars="200"/>
        <w:jc w:val="left"/>
        <w:rPr>
          <w:rFonts w:hint="eastAsia" w:ascii="宋体" w:hAnsi="宋体" w:cs="Arial"/>
          <w:sz w:val="32"/>
          <w:szCs w:val="32"/>
        </w:rPr>
      </w:pPr>
      <w:r>
        <w:rPr>
          <w:rFonts w:hint="eastAsia" w:ascii="仿宋" w:hAnsi="仿宋" w:eastAsia="仿宋" w:cs="仿宋"/>
          <w:b w:val="0"/>
          <w:bCs/>
          <w:i w:val="0"/>
          <w:caps w:val="0"/>
          <w:color w:val="000000"/>
          <w:spacing w:val="0"/>
          <w:kern w:val="0"/>
          <w:sz w:val="32"/>
          <w:szCs w:val="32"/>
          <w:shd w:val="clear" w:color="auto" w:fill="FFFFFF"/>
          <w:lang w:val="en-US" w:eastAsia="zh-CN" w:bidi="ar"/>
        </w:rPr>
        <w:t>负责拟定全县现代物流业发展规划，统筹协调物流业发展的重大事项，掌握跟踪物流产业发展动态；负责全县现代物流业发展的宏观指导和协调服务工作；负责煤炭政策的宣传、规划全县煤炭市场秩序、协调服务煤炭企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黑体" w:hAnsi="宋体" w:eastAsia="黑体" w:cs="黑体"/>
          <w:b w:val="0"/>
          <w:bCs/>
          <w:i w:val="0"/>
          <w:caps w:val="0"/>
          <w:color w:val="000000"/>
          <w:spacing w:val="0"/>
          <w:kern w:val="0"/>
          <w:sz w:val="32"/>
          <w:szCs w:val="32"/>
          <w:shd w:val="clear" w:color="auto" w:fill="FFFFFF"/>
          <w:lang w:val="en-US" w:eastAsia="zh-CN" w:bidi="ar"/>
        </w:rPr>
      </w:pPr>
      <w:r>
        <w:rPr>
          <w:rFonts w:hint="eastAsia" w:ascii="黑体" w:hAnsi="宋体" w:eastAsia="黑体" w:cs="黑体"/>
          <w:b w:val="0"/>
          <w:bCs/>
          <w:i w:val="0"/>
          <w:caps w:val="0"/>
          <w:color w:val="000000"/>
          <w:spacing w:val="0"/>
          <w:kern w:val="0"/>
          <w:sz w:val="32"/>
          <w:szCs w:val="32"/>
          <w:shd w:val="clear" w:color="auto" w:fill="FFFFFF"/>
          <w:lang w:val="en-US" w:eastAsia="zh-CN" w:bidi="ar"/>
        </w:rPr>
        <w:t>二、部门预算单位机构设置情况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根据编委核定,我单位内设股（科）室2个，为综合管理股、物流煤炭管理股；二级机构0个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rPr>
        <w:t>我单位2019年预算公开内容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本级</w:t>
      </w:r>
      <w:bookmarkStart w:id="0" w:name="_GoBack"/>
      <w:bookmarkEnd w:id="0"/>
      <w:r>
        <w:rPr>
          <w:rFonts w:hint="eastAsia" w:ascii="仿宋_GB2312" w:hAnsi="仿宋_GB2312" w:eastAsia="仿宋_GB2312" w:cs="仿宋_GB2312"/>
          <w:sz w:val="32"/>
          <w:szCs w:val="32"/>
        </w:rPr>
        <w:t>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bCs/>
          <w:i w:val="0"/>
          <w:caps w:val="0"/>
          <w:color w:val="000000"/>
          <w:spacing w:val="0"/>
          <w:sz w:val="21"/>
          <w:szCs w:val="21"/>
        </w:rPr>
      </w:pPr>
      <w:r>
        <w:rPr>
          <w:rFonts w:hint="eastAsia" w:ascii="黑体" w:hAnsi="宋体" w:eastAsia="黑体" w:cs="黑体"/>
          <w:b w:val="0"/>
          <w:bCs/>
          <w:i w:val="0"/>
          <w:caps w:val="0"/>
          <w:color w:val="000000"/>
          <w:spacing w:val="0"/>
          <w:kern w:val="0"/>
          <w:sz w:val="32"/>
          <w:szCs w:val="32"/>
          <w:shd w:val="clear" w:color="auto" w:fill="FFFFFF"/>
          <w:lang w:val="en-US" w:eastAsia="zh-CN" w:bidi="ar"/>
        </w:rPr>
        <w:t>三、部门预算收支情况说明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bCs/>
          <w:i w:val="0"/>
          <w:caps w:val="0"/>
          <w:color w:val="000000"/>
          <w:spacing w:val="0"/>
          <w:sz w:val="21"/>
          <w:szCs w:val="21"/>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1、2019年预算收入、支出比2018年增减情况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收入96.08万元，2018年收入90.27万元。与2018年相比增加5.81万元。增加的原因主要是基本支出增加。2019年支出96.08万元，2018年支出90.27万元。与2018年相比单位支出总体增加5.81万元。增加的原因主要是基本支出增加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2、机关运行经费情况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2019年度机关运行经费财政拨款预算2.82万元，较2018年预算增加0.1万元。增加的原因主要是商品和服务支出增加。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3、政府采购执行情况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2019年我单位政府采购预算总额0万元。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4、“三公经费”预算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度“三公经费”预算0万元，与2018年预算减少8万元。减少的原因主要是公务接待费和公务用车运行维护费减少。其中因公出国（境）费用0万元，较上年预算增加0万元；公务接待费0万元，较上年预算减少2万元,减少的主要原因是进一步规范财务制度，严格控制接待次数；公务用车运行维护费0万元，较上年预算减少6万元，减少的主要原因是单位公务用车已报废；公务用车购置费0万元，较上年预算增加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bCs/>
          <w:i w:val="0"/>
          <w:caps w:val="0"/>
          <w:color w:val="000000"/>
          <w:spacing w:val="0"/>
          <w:sz w:val="21"/>
          <w:szCs w:val="21"/>
          <w:highlight w:val="none"/>
        </w:rPr>
      </w:pPr>
      <w:r>
        <w:rPr>
          <w:rFonts w:hint="eastAsia" w:ascii="仿宋_GB2312" w:hAnsi="微软雅黑" w:eastAsia="仿宋_GB2312" w:cs="仿宋_GB2312"/>
          <w:b/>
          <w:bCs/>
          <w:i w:val="0"/>
          <w:caps w:val="0"/>
          <w:color w:val="000000"/>
          <w:spacing w:val="0"/>
          <w:kern w:val="0"/>
          <w:sz w:val="32"/>
          <w:szCs w:val="32"/>
          <w:highlight w:val="none"/>
          <w:shd w:val="clear" w:color="auto" w:fill="FFFFFF"/>
          <w:lang w:val="en-US" w:eastAsia="zh-CN" w:bidi="ar"/>
        </w:rPr>
        <w:t>5、绩效管理情况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000000"/>
          <w:spacing w:val="0"/>
          <w:sz w:val="21"/>
          <w:szCs w:val="21"/>
          <w:highlight w:val="none"/>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2019年度本部门设定绩效目标管理的项目共0个，共0万元。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bCs/>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highlight w:val="none"/>
          <w:shd w:val="clear" w:color="auto" w:fill="FFFFFF"/>
          <w:lang w:val="en-US" w:eastAsia="zh-CN" w:bidi="ar"/>
        </w:rPr>
        <w:t>6、国有资产占用情况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2018年期末，我单位共有车辆0辆，其中：一般公务用车0辆；单价50万元以上通用设备0台，单位价值100万元以上专用设备0台。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黑体" w:hAnsi="黑体" w:eastAsia="黑体" w:cs="黑体"/>
          <w:b w:val="0"/>
          <w:i w:val="0"/>
          <w:caps w:val="0"/>
          <w:color w:val="000000"/>
          <w:spacing w:val="0"/>
          <w:kern w:val="0"/>
          <w:sz w:val="32"/>
          <w:szCs w:val="32"/>
          <w:highlight w:val="none"/>
          <w:shd w:val="clear" w:color="auto" w:fill="FFFFFF"/>
          <w:lang w:val="en-US" w:eastAsia="zh-CN" w:bidi="ar"/>
        </w:rPr>
      </w:pPr>
      <w:r>
        <w:rPr>
          <w:rFonts w:hint="eastAsia" w:ascii="黑体" w:hAnsi="黑体" w:eastAsia="黑体" w:cs="黑体"/>
          <w:b w:val="0"/>
          <w:i w:val="0"/>
          <w:caps w:val="0"/>
          <w:color w:val="000000"/>
          <w:spacing w:val="0"/>
          <w:kern w:val="0"/>
          <w:sz w:val="32"/>
          <w:szCs w:val="32"/>
          <w:highlight w:val="none"/>
          <w:shd w:val="clear" w:color="auto" w:fill="FFFFFF"/>
          <w:lang w:val="en-US" w:eastAsia="zh-CN" w:bidi="ar"/>
        </w:rPr>
        <w:t>四、名词解释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（一）基本支出：指为保障机构正常运转、完成日常工作任务而发生的人员支出和公用支出。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（二）项目支出：指在基本支出之外为完成特定行政任务和事业发展目标所发生的支出。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三）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四）“三公”经费：指县直部门用一般公共预算安排的因公出国（境）费、公务用车购置及运行费和公务接待费。其中，因公出国（境）费反映单位公务出国（境）的国际差旅费、国外城市间交通费、住宿费、伙食费、培训费、公杂费等支出；公务用车购置费反映公务用车车辆购置支出（含车辆购置税）；公务用车运行维护费反映单位按规定保留的公务用车燃料费、维修费、过路过桥费、保险费等支出；公务接待费反映单位按规定开支的各类公务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楷体">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F7C16"/>
    <w:multiLevelType w:val="singleLevel"/>
    <w:tmpl w:val="E3BF7C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A8"/>
    <w:rsid w:val="005C35A8"/>
    <w:rsid w:val="00606E68"/>
    <w:rsid w:val="00654D04"/>
    <w:rsid w:val="00806B9B"/>
    <w:rsid w:val="009E0B3B"/>
    <w:rsid w:val="00D611A3"/>
    <w:rsid w:val="00EC63A8"/>
    <w:rsid w:val="028050F1"/>
    <w:rsid w:val="04434A5F"/>
    <w:rsid w:val="04B23322"/>
    <w:rsid w:val="04B9672B"/>
    <w:rsid w:val="06406F5D"/>
    <w:rsid w:val="0AAB1361"/>
    <w:rsid w:val="0C11631B"/>
    <w:rsid w:val="0E621B60"/>
    <w:rsid w:val="0F132982"/>
    <w:rsid w:val="12022A77"/>
    <w:rsid w:val="12D12BA0"/>
    <w:rsid w:val="14EF40DE"/>
    <w:rsid w:val="15465FF5"/>
    <w:rsid w:val="15C65CE0"/>
    <w:rsid w:val="1791068E"/>
    <w:rsid w:val="1A341DBB"/>
    <w:rsid w:val="1BD231C4"/>
    <w:rsid w:val="1C5C12D4"/>
    <w:rsid w:val="1D8E6014"/>
    <w:rsid w:val="20DC35CE"/>
    <w:rsid w:val="21973ACE"/>
    <w:rsid w:val="22A97B77"/>
    <w:rsid w:val="270F361F"/>
    <w:rsid w:val="280B52B7"/>
    <w:rsid w:val="29676DA7"/>
    <w:rsid w:val="2B2217DA"/>
    <w:rsid w:val="2CFA3B71"/>
    <w:rsid w:val="2F3D3B20"/>
    <w:rsid w:val="36352A77"/>
    <w:rsid w:val="397B6229"/>
    <w:rsid w:val="3A793BF3"/>
    <w:rsid w:val="3C7B089F"/>
    <w:rsid w:val="3CC37251"/>
    <w:rsid w:val="3D0479B0"/>
    <w:rsid w:val="40AC0E5B"/>
    <w:rsid w:val="43D32971"/>
    <w:rsid w:val="4A6545F2"/>
    <w:rsid w:val="4D613BB8"/>
    <w:rsid w:val="4F2168B7"/>
    <w:rsid w:val="4F8F2329"/>
    <w:rsid w:val="4FF818DB"/>
    <w:rsid w:val="538E2C6F"/>
    <w:rsid w:val="55A35474"/>
    <w:rsid w:val="56E47DEE"/>
    <w:rsid w:val="57E00BF1"/>
    <w:rsid w:val="586C5BEE"/>
    <w:rsid w:val="5BF941FE"/>
    <w:rsid w:val="5E143B1E"/>
    <w:rsid w:val="5E1E45F9"/>
    <w:rsid w:val="5F1D40D4"/>
    <w:rsid w:val="61D50CF2"/>
    <w:rsid w:val="6385248E"/>
    <w:rsid w:val="63A36064"/>
    <w:rsid w:val="642B49C1"/>
    <w:rsid w:val="6C6E0C66"/>
    <w:rsid w:val="6DBA277C"/>
    <w:rsid w:val="6F7333ED"/>
    <w:rsid w:val="6FFE0674"/>
    <w:rsid w:val="70000E26"/>
    <w:rsid w:val="7048463E"/>
    <w:rsid w:val="70D12887"/>
    <w:rsid w:val="70EA3D9C"/>
    <w:rsid w:val="74254FCF"/>
    <w:rsid w:val="742732BA"/>
    <w:rsid w:val="74631F5A"/>
    <w:rsid w:val="74A3277A"/>
    <w:rsid w:val="77F8469F"/>
    <w:rsid w:val="799556A2"/>
    <w:rsid w:val="7A8348ED"/>
    <w:rsid w:val="7BCE256C"/>
    <w:rsid w:val="7D9C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193</Words>
  <Characters>1106</Characters>
  <Lines>9</Lines>
  <Paragraphs>2</Paragraphs>
  <TotalTime>0</TotalTime>
  <ScaleCrop>false</ScaleCrop>
  <LinksUpToDate>false</LinksUpToDate>
  <CharactersWithSpaces>1297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2019-08-06T09:29:00Z</dcterms:created>
  <dc:creator>xbany</dc:creator>
  <cp:lastModifiedBy>Administrator</cp:lastModifiedBy>
  <cp:lastPrinted>2019-08-08T06:32:00Z</cp:lastPrinted>
  <dcterms:modified xsi:type="dcterms:W3CDTF">2021-06-08T07:11:48Z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