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bidi w:val="0"/>
        <w:adjustRightInd/>
        <w:jc w:val="both"/>
        <w:textAlignment w:val="auto"/>
        <w:rPr>
          <w:rFonts w:hint="default" w:ascii="仿宋" w:hAnsi="仿宋" w:eastAsia="仿宋" w:cs="仿宋"/>
          <w:b/>
          <w:bCs/>
          <w:color w:val="FF0000"/>
          <w:sz w:val="72"/>
          <w:szCs w:val="72"/>
          <w:u w:val="doubl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pacing w:val="20"/>
          <w:kern w:val="10"/>
          <w:sz w:val="72"/>
          <w:szCs w:val="72"/>
          <w:u w:val="double"/>
          <w:lang w:val="en-US" w:eastAsia="zh-CN"/>
        </w:rPr>
        <w:t xml:space="preserve"> 民权县胡集乡人民政府   </w:t>
      </w:r>
    </w:p>
    <w:p>
      <w:pPr>
        <w:pStyle w:val="2"/>
        <w:pageBreakBefore w:val="0"/>
        <w:kinsoku/>
        <w:overflowPunct/>
        <w:topLinePunct w:val="0"/>
        <w:bidi w:val="0"/>
        <w:adjustRightInd/>
        <w:jc w:val="center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胡集乡2022年度法治政府建设工作报告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年度，我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法治政府在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政府的统一领导下，坚持党的二十大精神，深入贯彻落实习近平同志系列重要讲话，紧紧围绕全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中心工作，坚持以创新促规范，以规范求发展，以发展强服务，强化组织领导、狠抓工作落实，法治政府建设情况顺利推进，取得明显成效。</w:t>
      </w:r>
      <w:r>
        <w:rPr>
          <w:rFonts w:hint="eastAsia" w:ascii="仿宋" w:hAnsi="仿宋" w:eastAsia="仿宋" w:cs="仿宋"/>
          <w:sz w:val="32"/>
          <w:szCs w:val="32"/>
        </w:rPr>
        <w:t>现将我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乡2022</w:t>
      </w:r>
      <w:r>
        <w:rPr>
          <w:rFonts w:hint="eastAsia" w:ascii="仿宋" w:hAnsi="仿宋" w:eastAsia="仿宋" w:cs="仿宋"/>
          <w:sz w:val="32"/>
          <w:szCs w:val="32"/>
        </w:rPr>
        <w:t>年度法治政府建设情况报告如下：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2022</w:t>
      </w:r>
      <w:r>
        <w:rPr>
          <w:rFonts w:hint="eastAsia" w:ascii="黑体" w:hAnsi="黑体" w:eastAsia="黑体" w:cs="黑体"/>
          <w:sz w:val="32"/>
          <w:szCs w:val="32"/>
        </w:rPr>
        <w:t>年度法治政府建设总体完成情况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度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胡集乡</w:t>
      </w:r>
      <w:r>
        <w:rPr>
          <w:rFonts w:hint="eastAsia" w:ascii="仿宋" w:hAnsi="仿宋" w:eastAsia="仿宋" w:cs="仿宋"/>
          <w:sz w:val="32"/>
          <w:szCs w:val="32"/>
        </w:rPr>
        <w:t>政府在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县委、县政府的正</w:t>
      </w:r>
      <w:r>
        <w:rPr>
          <w:rFonts w:hint="eastAsia" w:ascii="仿宋" w:hAnsi="仿宋" w:eastAsia="仿宋" w:cs="仿宋"/>
          <w:sz w:val="32"/>
          <w:szCs w:val="32"/>
        </w:rPr>
        <w:t>确领导下，深入推进依法行政和法治政府建设工作，在依法履行政府职能、完善制度建设、推进行政决策、坚持文明执法、强化行政权力制约监督、化解社会矛盾、提高法治思维和行政能力、组织保障等方面认真抓好法治建设，为促进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经济社会持续健康发展创造良好的法治环境和提供有力的法治保障。今年，我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在法治政府建设中严格依法履行职责，遵守各项工作纪律要求，全年未发生重大损失、重大安全事故和损害国家、公共和公民利益的行为。</w:t>
      </w:r>
    </w:p>
    <w:p>
      <w:pPr>
        <w:pStyle w:val="3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黑体" w:hAnsi="黑体" w:eastAsia="黑体" w:cs="黑体"/>
          <w:i w:val="0"/>
          <w:iC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二，</w:t>
      </w:r>
      <w:r>
        <w:rPr>
          <w:rFonts w:hint="eastAsia" w:ascii="黑体" w:hAnsi="黑体" w:eastAsia="黑体" w:cs="黑体"/>
          <w:i w:val="0"/>
          <w:iCs w:val="0"/>
          <w:color w:val="000000"/>
          <w:spacing w:val="0"/>
          <w:sz w:val="32"/>
          <w:szCs w:val="32"/>
          <w:shd w:val="clear" w:fill="FFFFFF"/>
          <w:lang w:eastAsia="zh-CN"/>
        </w:rPr>
        <w:t>2022</w:t>
      </w:r>
      <w:r>
        <w:rPr>
          <w:rFonts w:hint="eastAsia" w:ascii="黑体" w:hAnsi="黑体" w:eastAsia="黑体" w:cs="黑体"/>
          <w:i w:val="0"/>
          <w:iCs w:val="0"/>
          <w:color w:val="000000"/>
          <w:spacing w:val="0"/>
          <w:sz w:val="32"/>
          <w:szCs w:val="32"/>
          <w:shd w:val="clear" w:fill="FFFFFF"/>
        </w:rPr>
        <w:t>年主要工作</w:t>
      </w:r>
    </w:p>
    <w:p>
      <w:pPr>
        <w:pStyle w:val="3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楷体" w:hAnsi="楷体" w:eastAsia="楷体" w:cs="楷体"/>
          <w:i w:val="0"/>
          <w:iC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olor w:val="000000"/>
          <w:spacing w:val="0"/>
          <w:sz w:val="32"/>
          <w:szCs w:val="32"/>
          <w:shd w:val="clear" w:fill="FFFFFF"/>
        </w:rPr>
        <w:t>（一）健全制度、强化领导，法治政府建设保障有力</w:t>
      </w:r>
    </w:p>
    <w:p>
      <w:pPr>
        <w:pStyle w:val="3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1、领导重视，完善法治政府建设网络。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党委、政府始终对法治政府建设情况给予高度重视，将其摆上重要议事日程，及时调整法治政府建设领导小组，做到人员变动、组织不乱、工作不断。进一步明确领导小组工作职责，领导小组负责研究制定全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推进依法行政实施意见、工作计划，检查、指导和督促全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法治政府建设情况。</w:t>
      </w:r>
    </w:p>
    <w:p>
      <w:pPr>
        <w:pStyle w:val="3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2、明确责任，确保各项工作落到实处。年初，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党委、政府及时召开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法治政府建设领导小组全体会议，落实年度法治政府建设目标责任制，强化监督机制，各内设机构主要负责人作为第一责任人，对本机构推进法治政府建设负总责，形成一级抓一级，逐级抓落实的层级工作体系。做到法治政府建设整体有人抓，具体工作有人做，事后监督有人管，保证法治政府各项工作落到实处。</w:t>
      </w:r>
    </w:p>
    <w:p>
      <w:pPr>
        <w:pStyle w:val="3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楷体" w:hAnsi="楷体" w:eastAsia="楷体" w:cs="楷体"/>
          <w:i w:val="0"/>
          <w:iC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olor w:val="000000"/>
          <w:spacing w:val="0"/>
          <w:sz w:val="32"/>
          <w:szCs w:val="32"/>
          <w:shd w:val="clear" w:fill="FFFFFF"/>
        </w:rPr>
        <w:t>（二）加强学习、规范</w:t>
      </w:r>
      <w:r>
        <w:rPr>
          <w:rFonts w:hint="eastAsia" w:ascii="楷体" w:hAnsi="楷体" w:eastAsia="楷体" w:cs="楷体"/>
          <w:i w:val="0"/>
          <w:iCs w:val="0"/>
          <w:color w:val="000000"/>
          <w:spacing w:val="0"/>
          <w:sz w:val="32"/>
          <w:szCs w:val="32"/>
          <w:shd w:val="clear" w:fill="FFFFFF"/>
          <w:lang w:val="en-US" w:eastAsia="zh-CN"/>
        </w:rPr>
        <w:t>行政</w:t>
      </w:r>
      <w:r>
        <w:rPr>
          <w:rFonts w:hint="eastAsia" w:ascii="楷体" w:hAnsi="楷体" w:eastAsia="楷体" w:cs="楷体"/>
          <w:i w:val="0"/>
          <w:iCs w:val="0"/>
          <w:color w:val="000000"/>
          <w:spacing w:val="0"/>
          <w:sz w:val="32"/>
          <w:szCs w:val="32"/>
          <w:shd w:val="clear" w:fill="FFFFFF"/>
        </w:rPr>
        <w:t>作为，法治型政府建设有序开展</w:t>
      </w:r>
    </w:p>
    <w:p>
      <w:pPr>
        <w:pStyle w:val="3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1、落实学习培训。按照“统一组织、分级分类、全员培训”的要求，明确不同层次对象的培训办法、培训内容和培训考核，确保学习培训效果，举办了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全体领导干部、村“两委”干部参加的培训班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起，参加人员累计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val="en-US" w:eastAsia="zh-CN"/>
        </w:rPr>
        <w:t>500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多人次；举办法制讲座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场，受教人数达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val="en-US" w:eastAsia="zh-CN"/>
        </w:rPr>
        <w:t>5000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余人次；组织一年一度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全体领导干部学法用法考试，通过率达100%；经培训学习后，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eastAsia="zh-CN"/>
        </w:rPr>
        <w:t>胡集乡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今年新增拥有行政执法证件人员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人。</w:t>
      </w:r>
    </w:p>
    <w:p>
      <w:pPr>
        <w:pStyle w:val="3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2、加强宣传</w:t>
      </w:r>
      <w:r>
        <w:rPr>
          <w:rFonts w:hint="eastAsia" w:ascii="仿宋" w:hAnsi="仿宋" w:eastAsia="仿宋" w:cs="仿宋"/>
          <w:i w:val="0"/>
          <w:iCs w:val="0"/>
          <w:color w:val="333333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olor w:val="333333"/>
          <w:spacing w:val="0"/>
          <w:sz w:val="32"/>
          <w:szCs w:val="32"/>
          <w:u w:val="none"/>
          <w:shd w:val="clear" w:fill="FFFFFF"/>
        </w:rPr>
        <w:instrText xml:space="preserve"> HYPERLINK "http://www.longbaoping.com/" \t "https://www.ibm-hn.cn/rudangchengxu/2020/0922/_blank" </w:instrText>
      </w:r>
      <w:r>
        <w:rPr>
          <w:rFonts w:hint="eastAsia" w:ascii="仿宋" w:hAnsi="仿宋" w:eastAsia="仿宋" w:cs="仿宋"/>
          <w:i w:val="0"/>
          <w:iCs w:val="0"/>
          <w:color w:val="333333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iCs w:val="0"/>
          <w:color w:val="333333"/>
          <w:spacing w:val="0"/>
          <w:sz w:val="32"/>
          <w:szCs w:val="32"/>
          <w:u w:val="none"/>
          <w:shd w:val="clear" w:fill="FFFFFF"/>
        </w:rPr>
        <w:t>教育</w:t>
      </w:r>
      <w:r>
        <w:rPr>
          <w:rFonts w:hint="eastAsia" w:ascii="仿宋" w:hAnsi="仿宋" w:eastAsia="仿宋" w:cs="仿宋"/>
          <w:i w:val="0"/>
          <w:iCs w:val="0"/>
          <w:color w:val="333333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。充分利用广播、宣传流动车、法治宣传栏”微信公众号等宣传载体，不断推进宣传教育向各村、工厂延伸，通过组建普法与依法治理服务团，深入各村、学校、菜市场和工厂等进行宣传教育活动，全年累计发放法治宣传资料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val="en-US" w:eastAsia="zh-CN"/>
        </w:rPr>
        <w:t>1.5万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多份，开展法律咨询活动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val="en-US" w:eastAsia="zh-CN"/>
        </w:rPr>
        <w:t>50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次，接待咨询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val="en-US" w:eastAsia="zh-CN"/>
        </w:rPr>
        <w:t>200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多人次，使法治建设氛围不断浓郁。</w:t>
      </w:r>
    </w:p>
    <w:p>
      <w:pPr>
        <w:pStyle w:val="3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3、规范行政行为。引导和激励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全体工作人员特别是执法人员学法、守法，树立严格依法办事理念，特别是领导干部的合法行政、合理行政，做到程序正当、高效</w:t>
      </w:r>
      <w:r>
        <w:rPr>
          <w:rFonts w:hint="eastAsia" w:ascii="仿宋" w:hAnsi="仿宋" w:eastAsia="仿宋" w:cs="仿宋"/>
          <w:i w:val="0"/>
          <w:iCs w:val="0"/>
          <w:color w:val="333333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olor w:val="333333"/>
          <w:spacing w:val="0"/>
          <w:sz w:val="32"/>
          <w:szCs w:val="32"/>
          <w:u w:val="none"/>
          <w:shd w:val="clear" w:fill="FFFFFF"/>
        </w:rPr>
        <w:instrText xml:space="preserve"> HYPERLINK "http://www.0731bm.com/" \t "https://www.ibm-hn.cn/rudangchengxu/2020/0922/_blank" </w:instrText>
      </w:r>
      <w:r>
        <w:rPr>
          <w:rFonts w:hint="eastAsia" w:ascii="仿宋" w:hAnsi="仿宋" w:eastAsia="仿宋" w:cs="仿宋"/>
          <w:i w:val="0"/>
          <w:iCs w:val="0"/>
          <w:color w:val="333333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iCs w:val="0"/>
          <w:color w:val="333333"/>
          <w:spacing w:val="0"/>
          <w:sz w:val="32"/>
          <w:szCs w:val="32"/>
          <w:u w:val="none"/>
          <w:shd w:val="clear" w:fill="FFFFFF"/>
        </w:rPr>
        <w:t>便民</w:t>
      </w:r>
      <w:r>
        <w:rPr>
          <w:rFonts w:hint="eastAsia" w:ascii="仿宋" w:hAnsi="仿宋" w:eastAsia="仿宋" w:cs="仿宋"/>
          <w:i w:val="0"/>
          <w:iCs w:val="0"/>
          <w:color w:val="333333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、诚实守信、责权统一，加强对执法行为的监督，形成用制度管人，依法办事公平公正的良好局面。</w:t>
      </w:r>
    </w:p>
    <w:p>
      <w:pPr>
        <w:pStyle w:val="3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楷体" w:hAnsi="楷体" w:eastAsia="楷体" w:cs="楷体"/>
          <w:i w:val="0"/>
          <w:iC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olor w:val="000000"/>
          <w:spacing w:val="0"/>
          <w:sz w:val="32"/>
          <w:szCs w:val="32"/>
          <w:shd w:val="clear" w:fill="FFFFFF"/>
        </w:rPr>
        <w:t>（三）转变职能，提高效率，服务</w:t>
      </w:r>
      <w:r>
        <w:rPr>
          <w:rFonts w:hint="eastAsia" w:ascii="楷体" w:hAnsi="楷体" w:eastAsia="楷体" w:cs="楷体"/>
          <w:i w:val="0"/>
          <w:iCs w:val="0"/>
          <w:color w:val="000000"/>
          <w:spacing w:val="0"/>
          <w:sz w:val="32"/>
          <w:szCs w:val="32"/>
          <w:shd w:val="clear" w:fill="FFFFFF"/>
          <w:lang w:val="en-US" w:eastAsia="zh-CN"/>
        </w:rPr>
        <w:t>型</w:t>
      </w:r>
      <w:r>
        <w:rPr>
          <w:rFonts w:hint="eastAsia" w:ascii="楷体" w:hAnsi="楷体" w:eastAsia="楷体" w:cs="楷体"/>
          <w:i w:val="0"/>
          <w:iCs w:val="0"/>
          <w:color w:val="000000"/>
          <w:spacing w:val="0"/>
          <w:sz w:val="32"/>
          <w:szCs w:val="32"/>
          <w:shd w:val="clear" w:fill="FFFFFF"/>
        </w:rPr>
        <w:t>政府建设深入实施</w:t>
      </w:r>
    </w:p>
    <w:p>
      <w:pPr>
        <w:pStyle w:val="3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严格按照机关效率效能建设工作的要求，不断强化服务意识，努力创新服务方式，全面提升办事效率，有效推进服务型政府建设。</w:t>
      </w:r>
    </w:p>
    <w:p>
      <w:pPr>
        <w:pStyle w:val="3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1、完善社会稳定机制。建立健全突发事件的应急处理机制。完善社会预警体系、应急机制、社会动员机制。努力形成“横向到边、纵向到底”的工作机制，建立统一领导、分级负责、职责明确、运转有序、反应迅速、处置有力的工作领导小组。不断规范信访接待制度，坚持以解决群众的实际问题为出发点，认真及时处理群众来信来访，努力做到事事有交代，件件有回复。对不属于办理范围的做好解释工作，帮助落实好解决的部门；对老上访户认真做好劝说，力争做到息访；对于要求过高的无理上访，坚持依法办事，严格按《信访条例》处理。</w:t>
      </w:r>
    </w:p>
    <w:p>
      <w:pPr>
        <w:pStyle w:val="3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2、加强对行政权力的制约和监督。严格执行“三重一大”制度，加强政府内部监督，规范决策程序。深入推进政府信息公开和政务公开工作，全面公开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年政府预决算、“三公”经费等，打造阳光政务。自觉接受上级部门监督，主动接受人大代表、村民代表的监督。同时完善社会监督和舆论监督。重视政府网站、政务微信、电子屏等宣传阵地建设，及时发布各类信息，让人民群众了解政府活动、政策法规、重大决策等关键信息，从而保障群众的知情权、参与权、表达权、监督权。畅通媒体采访渠道，为新闻媒体调查采访提供方便，如实介绍情况。</w:t>
      </w:r>
    </w:p>
    <w:p>
      <w:pPr>
        <w:pStyle w:val="3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3、深化便民服务体系。做好行政服务大厅建设工作，积极扩展服务功能，简化办事程序，缩短办理时限，切实为老百姓办实事。</w:t>
      </w:r>
    </w:p>
    <w:p>
      <w:pPr>
        <w:pStyle w:val="3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楷体" w:hAnsi="楷体" w:eastAsia="楷体" w:cs="楷体"/>
          <w:i w:val="0"/>
          <w:iC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olor w:val="000000"/>
          <w:spacing w:val="0"/>
          <w:sz w:val="32"/>
          <w:szCs w:val="32"/>
          <w:shd w:val="clear" w:fill="FFFFFF"/>
        </w:rPr>
        <w:t>（四）改进作风、强化监督，阳光型政府建设稳步推进</w:t>
      </w:r>
    </w:p>
    <w:p>
      <w:pPr>
        <w:pStyle w:val="3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1、建立健全民主科学决策机制，提高行政决策水平。完善行政决策程序，建立决策纠错机制，实行行政问责制度，是依法决策、科学决策、民主决策的重要保障，有利于行政机关谨慎决策，防止决策的盲目性、随意性，避免决策失误。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政府建立领导干部决策责任追究制度，通过监督考核、民意测验、抽样调查、跟踪反馈、评估审查等方式，及时发现并纠正决策执行中存在的问题，适时调整和完善决策。对违反规定导致决策失误的，依法实行行政问责，追究行政过错责任，切实做到“有权必有责，用权受监督，违法要追究”。</w:t>
      </w:r>
    </w:p>
    <w:p>
      <w:pPr>
        <w:pStyle w:val="3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2、加强规范性文件审查备案，完善政府法治建设。认真做好规范性文件制定、清理和发布工作，坚持立、改、废并重。严格规范性文件备案审查制度，确保规范性文件报备率、及时率和规范率达到百分之百。对以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政府名义发布的涉及全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性的规范性文件全部由负责法治的工作人员进行前置性审查，做到“有件必备、有备必审、有错必纠”，切实提高了规范性文件质量。</w:t>
      </w:r>
    </w:p>
    <w:p>
      <w:pPr>
        <w:pStyle w:val="3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3、加大政府信息公开力度，提高政府工作透明度。进一步加大政府信息公开力度，按照《政府信息公开条例》的要求，依托政府门户网站，政府信息公开栏等宣传阵地，全面公开政务信息，保证人民群众的知情权、参与权和监督权，接受社会监督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560" w:lineRule="exact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五</w:t>
      </w:r>
      <w:r>
        <w:rPr>
          <w:rFonts w:hint="eastAsia" w:ascii="楷体" w:hAnsi="楷体" w:eastAsia="楷体" w:cs="楷体"/>
          <w:sz w:val="32"/>
          <w:szCs w:val="32"/>
        </w:rPr>
        <w:t>）依法强化行政监督，加强行政组织保障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及时接受强化行政监督职责，规范服务窗口运行，做好政务公开工作，接受上级部门、人大机关、司法机关、社会群众等监督，依法正确行使机关职权，畅通民主监督渠道，明确党委书记为推进法治政府建设第一责任人，将法治政府建设工作纳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内部年度目标管理考核内容。积极将推进法治工作经费列入年度预算，全力做好依法行政保障。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2022</w:t>
      </w:r>
      <w:r>
        <w:rPr>
          <w:rFonts w:hint="eastAsia" w:ascii="黑体" w:hAnsi="黑体" w:eastAsia="黑体" w:cs="黑体"/>
          <w:sz w:val="32"/>
          <w:szCs w:val="32"/>
        </w:rPr>
        <w:t>年度推进法治政府建设存在的不足和原因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一年来，我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在法治政府建设方面虽然取得了一定的成绩，但还是有存在不足的方面。主要是体现在以下几个方面: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在履行行政职能上，还有待进一步提升行政办事效率；二是行政决策机制及制度建设仍需进一步加强和完善；三是行政执法能力还有待进一步提高；四是行政执法创新方式不够，主要是行政执法信息平台、信用档案建设、举报奖励制度等还建设不全；五是法治宣传工作有待完善，法律进机关、进企业、下基层等落实不够，需加大宣传力度，积极造法治氛围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存在的不足主要的原因是：行政执法培训力度不够，执法人员缺少系统的行政法规培训，依法行政水平不高，对政策的把握能力不强。法治宣传工作有待完善，法律进机关、进企业、下基层等落实不够，需加大宣传力度，积极造法治氛围。</w:t>
      </w:r>
    </w:p>
    <w:p>
      <w:pPr>
        <w:pStyle w:val="3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黑体" w:hAnsi="黑体" w:eastAsia="黑体" w:cs="黑体"/>
          <w:i w:val="0"/>
          <w:iC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olor w:val="000000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黑体" w:hAnsi="黑体" w:eastAsia="黑体" w:cs="黑体"/>
          <w:i w:val="0"/>
          <w:iCs w:val="0"/>
          <w:color w:val="000000"/>
          <w:spacing w:val="0"/>
          <w:sz w:val="32"/>
          <w:szCs w:val="32"/>
          <w:shd w:val="clear" w:fill="FFFFFF"/>
        </w:rPr>
        <w:t>、202</w:t>
      </w:r>
      <w:r>
        <w:rPr>
          <w:rFonts w:hint="eastAsia" w:ascii="黑体" w:hAnsi="黑体" w:eastAsia="黑体" w:cs="黑体"/>
          <w:i w:val="0"/>
          <w:iC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黑体" w:hAnsi="黑体" w:eastAsia="黑体" w:cs="黑体"/>
          <w:i w:val="0"/>
          <w:iCs w:val="0"/>
          <w:color w:val="000000"/>
          <w:spacing w:val="0"/>
          <w:sz w:val="32"/>
          <w:szCs w:val="32"/>
          <w:shd w:val="clear" w:fill="FFFFFF"/>
        </w:rPr>
        <w:t>年工作计划</w:t>
      </w:r>
    </w:p>
    <w:p>
      <w:pPr>
        <w:pStyle w:val="3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1、进一步推进政府职能转变。全面履行政府职能，切实加强社会管理和公共服务职能。完善社会管理制度，提高社会管理水平，创新公共服务体制，改进公共服务方式，优化公共服务资源配置，加强公共服务设施建设。</w:t>
      </w:r>
    </w:p>
    <w:p>
      <w:pPr>
        <w:pStyle w:val="3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2、进一步建立健全各项工作制度。不断完善各项工作制度，坚持形成用制度管人工作机制，不断提高工作水平，切实履行工作职责。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3、进一步加大规范性文件备案、审查力度。落实专人负责，加大对规范性文件的备案工作力度，确保应备尽备，同时做好规范性文件的公开工作。</w:t>
      </w:r>
    </w:p>
    <w:p>
      <w:pPr>
        <w:pStyle w:val="3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4、进一步规范全乡行政执法行为。加大培训</w:t>
      </w:r>
      <w:r>
        <w:rPr>
          <w:rFonts w:hint="eastAsia" w:ascii="仿宋" w:hAnsi="仿宋" w:eastAsia="仿宋" w:cs="仿宋"/>
          <w:i w:val="0"/>
          <w:iCs w:val="0"/>
          <w:color w:val="333333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olor w:val="333333"/>
          <w:spacing w:val="0"/>
          <w:sz w:val="32"/>
          <w:szCs w:val="32"/>
          <w:u w:val="none"/>
          <w:shd w:val="clear" w:fill="FFFFFF"/>
        </w:rPr>
        <w:instrText xml:space="preserve"> HYPERLINK "http://www.laoshuan.cn/" \t "https://www.ibm-hn.cn/rudangchengxu/2020/0922/_blank" </w:instrText>
      </w:r>
      <w:r>
        <w:rPr>
          <w:rFonts w:hint="eastAsia" w:ascii="仿宋" w:hAnsi="仿宋" w:eastAsia="仿宋" w:cs="仿宋"/>
          <w:i w:val="0"/>
          <w:iCs w:val="0"/>
          <w:color w:val="333333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iCs w:val="0"/>
          <w:color w:val="333333"/>
          <w:spacing w:val="0"/>
          <w:sz w:val="32"/>
          <w:szCs w:val="32"/>
          <w:u w:val="none"/>
          <w:shd w:val="clear" w:fill="FFFFFF"/>
        </w:rPr>
        <w:t>学习</w:t>
      </w:r>
      <w:r>
        <w:rPr>
          <w:rFonts w:hint="eastAsia" w:ascii="仿宋" w:hAnsi="仿宋" w:eastAsia="仿宋" w:cs="仿宋"/>
          <w:i w:val="0"/>
          <w:iCs w:val="0"/>
          <w:color w:val="333333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，提高行政执法人员素质和水平，加到监督考核力度，提高对行政执法人员的</w:t>
      </w:r>
      <w:r>
        <w:rPr>
          <w:rFonts w:hint="eastAsia" w:ascii="仿宋" w:hAnsi="仿宋" w:eastAsia="仿宋" w:cs="仿宋"/>
          <w:i w:val="0"/>
          <w:iCs w:val="0"/>
          <w:color w:val="333333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olor w:val="333333"/>
          <w:spacing w:val="0"/>
          <w:sz w:val="32"/>
          <w:szCs w:val="32"/>
          <w:u w:val="none"/>
          <w:shd w:val="clear" w:fill="FFFFFF"/>
        </w:rPr>
        <w:instrText xml:space="preserve"> HYPERLINK "http://www.maomaolunwen.com/" \t "https://www.ibm-hn.cn/rudangchengxu/2020/0922/_blank" </w:instrText>
      </w:r>
      <w:r>
        <w:rPr>
          <w:rFonts w:hint="eastAsia" w:ascii="仿宋" w:hAnsi="仿宋" w:eastAsia="仿宋" w:cs="仿宋"/>
          <w:i w:val="0"/>
          <w:iCs w:val="0"/>
          <w:color w:val="333333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iCs w:val="0"/>
          <w:color w:val="333333"/>
          <w:spacing w:val="0"/>
          <w:sz w:val="32"/>
          <w:szCs w:val="32"/>
          <w:u w:val="none"/>
          <w:shd w:val="clear" w:fill="FFFFFF"/>
        </w:rPr>
        <w:t>管理</w:t>
      </w:r>
      <w:r>
        <w:rPr>
          <w:rFonts w:hint="eastAsia" w:ascii="仿宋" w:hAnsi="仿宋" w:eastAsia="仿宋" w:cs="仿宋"/>
          <w:i w:val="0"/>
          <w:iCs w:val="0"/>
          <w:color w:val="333333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。同时加强对领导干部和执法工作人员的培训，完善培训机制，提高运用法治思维和法治方式解决问题的能力，使干部队伍知法、用法、守法、敬法、护法。</w:t>
      </w:r>
    </w:p>
    <w:p>
      <w:pPr>
        <w:pStyle w:val="3"/>
        <w:keepNext w:val="0"/>
        <w:keepLines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5、深入推进“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  <w:lang w:val="en-US" w:eastAsia="zh-CN"/>
        </w:rPr>
        <w:t>八</w:t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五”普法宣传工作，继续深化“法律六进”工作。开展“人手一册、每户一本、居村一讲一阵地”宪法学习工程，结合重要节点开展系列法治宣传日、宣传周、宣传月</w:t>
      </w:r>
      <w:r>
        <w:rPr>
          <w:rFonts w:hint="eastAsia" w:ascii="仿宋" w:hAnsi="仿宋" w:eastAsia="仿宋" w:cs="仿宋"/>
          <w:i w:val="0"/>
          <w:iCs w:val="0"/>
          <w:color w:val="333333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olor w:val="333333"/>
          <w:spacing w:val="0"/>
          <w:sz w:val="32"/>
          <w:szCs w:val="32"/>
          <w:u w:val="none"/>
          <w:shd w:val="clear" w:fill="FFFFFF"/>
        </w:rPr>
        <w:instrText xml:space="preserve"> HYPERLINK "http://www.ganbin.cn/" \t "https://www.ibm-hn.cn/rudangchengxu/2020/0922/_blank" </w:instrText>
      </w:r>
      <w:r>
        <w:rPr>
          <w:rFonts w:hint="eastAsia" w:ascii="仿宋" w:hAnsi="仿宋" w:eastAsia="仿宋" w:cs="仿宋"/>
          <w:i w:val="0"/>
          <w:iCs w:val="0"/>
          <w:color w:val="333333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iCs w:val="0"/>
          <w:color w:val="333333"/>
          <w:spacing w:val="0"/>
          <w:sz w:val="32"/>
          <w:szCs w:val="32"/>
          <w:u w:val="none"/>
          <w:shd w:val="clear" w:fill="FFFFFF"/>
        </w:rPr>
        <w:t>活动</w:t>
      </w:r>
      <w:r>
        <w:rPr>
          <w:rFonts w:hint="eastAsia" w:ascii="仿宋" w:hAnsi="仿宋" w:eastAsia="仿宋" w:cs="仿宋"/>
          <w:i w:val="0"/>
          <w:iCs w:val="0"/>
          <w:color w:val="333333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olor w:val="000000"/>
          <w:spacing w:val="0"/>
          <w:sz w:val="32"/>
          <w:szCs w:val="32"/>
          <w:shd w:val="clear" w:fill="FFFFFF"/>
        </w:rPr>
        <w:t>，营造良好的法治宣传环境。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560" w:lineRule="exact"/>
        <w:ind w:firstLine="4160" w:firstLineChars="13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民权县胡集回族乡</w:t>
      </w:r>
      <w:r>
        <w:rPr>
          <w:rFonts w:hint="eastAsia" w:ascii="仿宋" w:hAnsi="仿宋" w:eastAsia="仿宋" w:cs="仿宋"/>
          <w:sz w:val="32"/>
          <w:szCs w:val="32"/>
        </w:rPr>
        <w:t>人民政府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560" w:lineRule="exact"/>
        <w:ind w:firstLine="4800" w:firstLineChars="15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NzEzNGMxMjA2OTcxYTYzNjU4ZThkZWExZDZlOTQifQ=="/>
  </w:docVars>
  <w:rsids>
    <w:rsidRoot w:val="3B534F79"/>
    <w:rsid w:val="01726E8D"/>
    <w:rsid w:val="02311750"/>
    <w:rsid w:val="07911AE9"/>
    <w:rsid w:val="0BD32323"/>
    <w:rsid w:val="15355761"/>
    <w:rsid w:val="15431BC1"/>
    <w:rsid w:val="16265748"/>
    <w:rsid w:val="1CF3211F"/>
    <w:rsid w:val="1FB913FE"/>
    <w:rsid w:val="278D2D05"/>
    <w:rsid w:val="27F42ED2"/>
    <w:rsid w:val="283F26BC"/>
    <w:rsid w:val="29EF3C6E"/>
    <w:rsid w:val="34E10CDC"/>
    <w:rsid w:val="351E2E50"/>
    <w:rsid w:val="398E3B9F"/>
    <w:rsid w:val="3B534F79"/>
    <w:rsid w:val="3B6B18CF"/>
    <w:rsid w:val="3EAD7F28"/>
    <w:rsid w:val="3ED05A2F"/>
    <w:rsid w:val="3ED101AF"/>
    <w:rsid w:val="433C2704"/>
    <w:rsid w:val="44A90B20"/>
    <w:rsid w:val="455A7375"/>
    <w:rsid w:val="46DF0E9A"/>
    <w:rsid w:val="4A9A5DA5"/>
    <w:rsid w:val="52641A34"/>
    <w:rsid w:val="530A7468"/>
    <w:rsid w:val="56CB31E9"/>
    <w:rsid w:val="571C3A45"/>
    <w:rsid w:val="579E7A0A"/>
    <w:rsid w:val="5A87546A"/>
    <w:rsid w:val="5E1E3501"/>
    <w:rsid w:val="5F1257CE"/>
    <w:rsid w:val="5F926A31"/>
    <w:rsid w:val="647C3D75"/>
    <w:rsid w:val="64AC072D"/>
    <w:rsid w:val="65B33BEC"/>
    <w:rsid w:val="664346F7"/>
    <w:rsid w:val="670538CE"/>
    <w:rsid w:val="67390889"/>
    <w:rsid w:val="68D91796"/>
    <w:rsid w:val="69224EEB"/>
    <w:rsid w:val="69C912A8"/>
    <w:rsid w:val="6AED32D6"/>
    <w:rsid w:val="6C9D5C98"/>
    <w:rsid w:val="71EF7932"/>
    <w:rsid w:val="7B4A21AD"/>
    <w:rsid w:val="7B9E160E"/>
    <w:rsid w:val="7D6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3347</Words>
  <Characters>3393</Characters>
  <Lines>0</Lines>
  <Paragraphs>0</Paragraphs>
  <TotalTime>47</TotalTime>
  <ScaleCrop>false</ScaleCrop>
  <LinksUpToDate>false</LinksUpToDate>
  <CharactersWithSpaces>3398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2021-08-05T09:42:00Z</dcterms:created>
  <dc:creator>树街猫</dc:creator>
  <cp:lastModifiedBy>Administrator</cp:lastModifiedBy>
  <dcterms:modified xsi:type="dcterms:W3CDTF">2023-02-23T08:46:04Z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2ED00B757F63417BA9A234FAC4AAFE85</vt:lpwstr>
  </property>
</Properties>
</file>