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方正小标宋简体" w:hAnsi="方正小标宋简体" w:eastAsia="方正小标宋简体" w:cs="方正小标宋简体"/>
          <w:color w:val="FF0000"/>
          <w:w w:val="100"/>
          <w:sz w:val="72"/>
          <w:szCs w:val="72"/>
          <w:u w:val="none"/>
          <w:lang w:val="en-US" w:eastAsia="zh-CN"/>
        </w:rPr>
      </w:pPr>
      <w:r>
        <w:rPr>
          <w:color w:val="FF0000"/>
          <w:sz w:val="56"/>
          <w:szCs w:val="22"/>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772795</wp:posOffset>
                </wp:positionV>
                <wp:extent cx="5362575" cy="0"/>
                <wp:effectExtent l="0" t="10795" r="9525" b="17780"/>
                <wp:wrapNone/>
                <wp:docPr id="2" name="直接连接符 2"/>
                <wp:cNvGraphicFramePr/>
                <a:graphic xmlns:a="http://schemas.openxmlformats.org/drawingml/2006/main">
                  <a:graphicData uri="http://schemas.microsoft.com/office/word/2010/wordprocessingShape">
                    <wps:wsp>
                      <wps:cNvCnPr/>
                      <wps:spPr>
                        <a:xfrm>
                          <a:off x="0" y="0"/>
                          <a:ext cx="5362575" cy="0"/>
                        </a:xfrm>
                        <a:prstGeom prst="line">
                          <a:avLst/>
                        </a:prstGeom>
                        <a:ln w="222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pt;margin-top:60.85pt;height:0pt;width:422.25pt;z-index:251660288;mso-width-relative:page;mso-height-relative:page;" filled="f" stroked="t" coordsize="21600,21600" o:gfxdata="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S33US1gAAAAkBAAAPAAAAAAAAAAEAIAAAACIAAABkcnMvZG93&#10;bnJldi54bWxQSwECFAAUAAAACACHTuJAF40MCskBAABkAwAADgAAAAAAAAABACAAAAAlAQAAZHJz&#10;L2Uyb0RvYy54bWxQSwUGAAAAAAYABgBZAQAAYAUAAAAA&#10;">
                <v:fill on="f" focussize="0,0"/>
                <v:stroke weight="1.75pt" color="#FF0000 [3204]" miterlimit="8" joinstyle="miter"/>
                <v:imagedata o:title=""/>
                <o:lock v:ext="edit" aspectratio="f"/>
              </v:line>
            </w:pict>
          </mc:Fallback>
        </mc:AlternateContent>
      </w:r>
      <w:r>
        <w:rPr>
          <w:color w:val="FF0000"/>
          <w:sz w:val="56"/>
          <w:szCs w:val="22"/>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721360</wp:posOffset>
                </wp:positionV>
                <wp:extent cx="5344795" cy="0"/>
                <wp:effectExtent l="0" t="13970" r="8255" b="24130"/>
                <wp:wrapNone/>
                <wp:docPr id="1" name="直接连接符 1"/>
                <wp:cNvGraphicFramePr/>
                <a:graphic xmlns:a="http://schemas.openxmlformats.org/drawingml/2006/main">
                  <a:graphicData uri="http://schemas.microsoft.com/office/word/2010/wordprocessingShape">
                    <wps:wsp>
                      <wps:cNvCnPr/>
                      <wps:spPr>
                        <a:xfrm>
                          <a:off x="1158875" y="1567815"/>
                          <a:ext cx="5344795" cy="0"/>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margin-left:3.45pt;margin-top:56.8pt;height:0pt;width:420.85pt;z-index:251659264;mso-width-relative:page;mso-height-relative:page;" filled="f" stroked="t" coordsize="21600,21600" o:gfxdata="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2hRvdgAAAAJAQAADwAAAAAA&#10;AAABACAAAAAiAAAAZHJzL2Rvd25yZXYueG1sUEsBAhQAFAAAAAgAh07iQA+C/njaAQAAcAMAAA4A&#10;AAAAAAAAAQAgAAAAJwEAAGRycy9lMm9Eb2MueG1sUEsFBgAAAAAGAAYAWQEAAHMFAAAAAA==&#10;">
                <v:fill on="f" focussize="0,0"/>
                <v:stroke weight="2.25pt" color="#FF0000 [3200]" miterlimit="8" joinstyle="miter"/>
                <v:imagedata o:title=""/>
                <o:lock v:ext="edit" aspectratio="f"/>
              </v:line>
            </w:pict>
          </mc:Fallback>
        </mc:AlternateContent>
      </w:r>
      <w:r>
        <w:rPr>
          <w:rFonts w:hint="eastAsia" w:ascii="方正小标宋简体" w:hAnsi="方正小标宋简体" w:eastAsia="方正小标宋简体" w:cs="方正小标宋简体"/>
          <w:color w:val="FF0000"/>
          <w:w w:val="100"/>
          <w:sz w:val="56"/>
          <w:szCs w:val="56"/>
          <w:u w:val="none"/>
          <w:lang w:val="en-US" w:eastAsia="zh-CN"/>
        </w:rPr>
        <w:t>双  塔  镇  人  民  政  府</w:t>
      </w:r>
    </w:p>
    <w:p>
      <w:pPr>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民权县双塔镇人民政府关于2022年度法治政府建设情况的报告</w:t>
      </w:r>
    </w:p>
    <w:p>
      <w:pPr>
        <w:numPr>
          <w:ilvl w:val="0"/>
          <w:numId w:val="0"/>
        </w:numPr>
        <w:ind w:firstLine="220" w:firstLineChars="200"/>
        <w:jc w:val="center"/>
        <w:rPr>
          <w:rFonts w:hint="eastAsia" w:ascii="方正小标宋简体" w:hAnsi="方正小标宋简体" w:eastAsia="方正小标宋简体" w:cs="方正小标宋简体"/>
          <w:sz w:val="11"/>
          <w:szCs w:val="11"/>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以来，双塔镇在县委县政府的坚强领导下，以习近平新时代中国特色社会主义思想为指导，深入贯彻习近平法治思想和习近平总书记系列重要讲话精神，全面贯彻党的十九大和十九届历次会议及党的二十大精神，认真贯彻上级关于法治政府建设的决策部署，深入推进依法行政，弘扬社会主义法治精神，抓好“关键少数”的牵头作用，健全完善各项制度机制，全面推进依法治理，结合乡村振兴战略，进一步推进法治政府建设。现将我镇2022年以来法治政府建设工作报告如下:</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一、2022年度推进法治政府建设的主要举措和成效</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（一）增强组织领导，强化责任落实</w:t>
      </w:r>
      <w:bookmarkStart w:id="0" w:name="_GoBack"/>
      <w:bookmarkEnd w:id="0"/>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切实加强政府法治建设工作扎实开展，我镇确立以镇党委书记武贵宝同志为组长，政府镇长何文哲同志为副组长，镇各部门通力合作的法治建设工作领导小组，设立领导小组办公室，由贾凤丽同志兼任办公室主任。制定完善的全镇法治政府建设责任制实施方案，明确镇村两级干部详尽的考核标准，强化执法责任落实机制，每月定期召开联席会议，统筹推进各项法治政府建设工作的推进，接续推动执法工作规范化、制度化、高效化、协调化，加强监督管理机制，统筹推进法治双塔、法治政府一体化建设。</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落实依法执政“一岗双责”，坚持法治建设与日常工作、业务工作同部署、同考核。班子成员带头从自身做起、从实践抓起，坚持运用法治方式加强党的领导，运用法治手段推进经济社会稳定，优化社会治理结构，从而促进民生改善和社会建设。</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（二）强化依法执政，加强执法本领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积极推动领导干部法治教育培训。为积极探索依法执政、依法行政，建设基层法治政府的新途径，落实好“谁执法谁普法”、“谁服务谁普法”普法责任，全面落实干部职工学法用法制度，今年以来，党政中心学习组开展专题学法活动20余次，各站所根据相关工作要求，不定期开展专题学法和法律业务学习培训，镇村两级干部法律培训比率达100%。同时定期组织全体机关干部开展法律知识考试与执法能力测验，提高领导干部学法守法用法积极性，确保各镇村干部能够坚决落实“依法执政”的工作要求。善于利用“学习强国”APP等线上普法平台，大力开展法治学习，形成常态化学习机制。积极组织村干部参加政治理论学习，认真学习习近平法治思想，提高基层执法能力，加强对《中华人民共和国民法典》《中华人民共和国宪法》《中华人民共和国法律援助法》《信访工作条例》等法律法规及法治政府建设相关知识的学习，确保全面提高乡村基层依法行政、化解社会矛盾、维护社会和谐稳定的综合能力。</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提高依法办事能力，创建高效便民政府。深化高素质法治队伍建设，落实行政执法人员“持证上岗、亮证执法”制度，要求相应人员积极参与行政执法证申领考试，坚持“应考尽考”原则，持续加强全镇法治队伍建设。更加注重阳光执法、文明执法、人性化执法，构筑良好的执法环境。明确行政执法职责，严格实行全过程记录、执法公示和执法审核要求，确保执法过程公开透明。</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深化政务公开体系建设。制定详尽的年度政务公开工作计划，将政务公开、政务服务工作纳入年度中心工作，着力抓好政务公开栏建设，强化公开内容，提升对政务公开的管理水平。持续深入推进决策、执行、管理、服务、结果“五公开”。落实政务舆情回应责任，做好第一时间处置工作并做好回复反馈。及时更新政务公开栏信息，进一步增加政府工作透明度。镇纪委跟踪督办政务公开日常工作，确保重要信息不出错。规范化便民服务中心建设，按照“谁接待、谁负责”原则，整合镇审批服务力量，提高政务服务放权本领。实施村事务阳光工程，推进村级事务及时公开，加强群众对村级事务的有效监督。</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优化工作流程。建立健全重大事项决策调研、论证、咨询、听证等制度，有效推动行政决策民主化、科学化、规范化。做好我镇重点工作、项目建设、专项工作等重点环节的衔接处置公示工作。健全完善的公共法律服务体系，健全法律顾问系统，建立健全各村委“法律明白人”制度建设，充分发挥各村“法律明白人”便民优势。</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五是促进决策审查落实。重大行政决策严格落实“事先公布、听取意见、合法性审查”制度，最后提交镇党政联席会议集体讨论通过，推进行政决策民主化、科学化、规范化。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（三）完善乡村社会治理，加强法治宣传</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强化乡村矛盾排查化解机制。充分发挥基层网格员调解优势，力求将矛盾冲突消灭在始发阶段、萌芽阶段，有效提升辖区社会稳定。推进“三零”创建工作，深入推进扫黑除恶行动，建立联防队伍，建立治安巡逻联防队伍，坚持巡逻与镇值班值守制度结合，坚持每日夜间巡逻，提升域内治安稳定度。落实扫黑除恶工作预案，确保一旦发现涉黑苗头，能够第一时间严厉打击。建立矛盾纠纷常态化排查化解机制，实施“日摸排、周汇报、月汇总”的工作要求，对排查出的问题实行“专人跟进，定期报告，优先化解”，通过完善矛盾排查、纠纷化解、分析原因、消除隐患等工作措施，构建维护社会稳定的坚固防线。2022年我镇共化解矛盾纠纷98件，有效防止“民转刑”案件出现，真正实现“大事不出镇，小事不出村”。</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加强乡村法治体系建设。积极完善乡村治理体系，持续开展法治村建设行动，深化民主法治村示范创建工作。在村推行“村民自治”、“四直工作法”等制度，进一步扩大基层民主权利。结合社会管理网格化管理，建立由村法律顾问、村委负责人、村网格员和义务法治宣传员共同参与的的法律服务小分队，深入辖区开展法治宣传、法律服务、法律援助等活动。积极探索社会治理体制，健全网格化管理和基层群众自治制度，加强村网格信息化建设，善于利用“网格通”等工作平台，提高基层治理工作实效，畅达沟通渠道。将信访、民政、综治、司法等资源进行整合，畅通社情民意反映渠道、疑难问题解决渠道。坚持发展“枫桥经验”，加强人民调解、行政调解、司法调解、仲裁调解等的衔接联动，强化对人身损害事故纠纷、婚恋纠纷、因拆迁导致的土地纠纷、宅基地纠纷等乡村突出重点矛盾纠纷的协调化解。</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三是以增强参与性和趣味性为重点，加强青少年法治宣传教育。坚持发挥学校法治教育主阵地作用，强化教职工法治意识的培养，通过课上教学和课下实践的双重推进，提高少年儿童的法治意识。采取法律知识竞赛、法治宣传短剧等丰富多彩的宣传形式，倡导师生共同学法、共同守法，营造良好的学法氛围，并持续完善“学校、家庭、社会”三者共同推进的青少年法治教育体系。</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四是以多种宣传形式为方法，营造良好的宣传氛围，不断提高辖区群众法治意识。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小型LED显示屏滚动播放宣传标语、制作宣传展板等宣传方式,增强全体干部职工以习近平法治思想为指引,坚定不移走中国特色社会主义法治道路的意识信念。同时发动干部职工积极在朋友圈转发法治政府创建相关知识、宣传视频等信息,加强示范创建宣传的工作力度,扩大社会影响,营造良好的舆论氛围。</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悬挂横幅、设置咨询台、现场讲解及发放各类法律宣传单等多种形式开展社会法治宣传，向群众普及了平安建设、反诈骗、反邪教、扫黑除恶、打击虚假诉讼等相关政策，并进行了宪法、民法典、社区矫正法、法律援助法、未成年人保护法等相关法律法规的宣传。同时调动村级网格员的积极性，通过敲门走访的方式，深入每家每户，讲解最新政策，及时解决相关问题，实地指导群众安装使用“国家反诈中心”APP，2022年我镇共开展大型法治宣传活动十余次，覆盖全镇万余人口。</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通过多形式、多举措开展的法治创建宣传教育,不仅为法治创建营造了浓厚的法治氛围,使学法、尊法、守法、用法的观念入脑入心,也进一步筑牢了全体双塔人的法律意识,提升了人民群众对法治政府的满意度。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（四）强化监督职能，促进严格执法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认真落实行政执法过错追责制度，对违反行政执法规定的执法干部，按有关规定严肃追究其责任，强化各类监督职能，进一步增强执法干部工作责任心，有效杜绝了滥用职权、知法犯法的现象，确保国家法律、法规和各项政策的正确贯彻执行。畅通社会监督渠道，自觉接受群众监督，确保执法工作的公开、公正，扎实推进基层依法治理。</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二、2022年推进法治政府建设存在的不足、原因及问题整改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镇在法治政府建设方面，取得了一定的成效，在依法行政工作中再上一个新台阶，但距建设法治政府的要求还存有一定的差距，主要存在在以下问题：一是干部法制观念有待提高。部分工作人员的知识储备量欠缺，基层党员干部运用法治思维和法治方式化解矛盾冲突的能力有待加强，鉴于以上情况，我镇积极开展面向全体党员干部的普法教育培训，分阶段分层次进行，不断推动基层干部队伍执法素质的提高；二是法治宣传形式单一，宣传新颖力和创意性不强，不能进一步提高广大群众对法治建设工作的关注度对于这个问题，我镇将在今后的工作中更新宣传方式，增加宣传渠道，同时培养辖区群众的积极性，号召人民群众都参与到基层普法队伍中来。</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三、2022年党政主要负责人履行推进法治建设第一责任人职责，加强法治政府建设情况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我镇确立以镇党委书记为组长，政府镇长为副组长的领导小组，成员分工负责，明确职责，落实责任。按照“谁主管、谁负责”的原则，将责任细化到各部门到每个人，层层负责。把法治创建工作、法治政府建设工作纳入到党委政府工作的重要环节，细化完善重大事项集体讨论决策、规范性文件、依法行政等制度，完善党务公开制度，将法治政府建设融入到日常工作中。</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始终把加强学习作为增强素质、履行职责的第一需要，理论中心组坚持集体学法制度，深入学习习近平总书记全面依法治国重要论述，把宪法学习摆在突出位置，教育引导广大党员干部不断提高运用法治思维和法治方式化解矛盾、维护稳定的能力。</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法治建设过程中存在的问题，多次召开班子会议进行研判，梳理政务公开、信访、乡村治理等关键问题，努力推动实施村级矛盾纠纷排查化解机制建设，能够做到重要工作亲自部署、重大问题亲自过问、重要环节亲自协调、重要案件亲自督办。</w:t>
      </w:r>
    </w:p>
    <w:p>
      <w:pPr>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四、下一年度推进法治政府建设的主要安排</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双塔镇将坚持以习近平总书记全面依法治国新理念新思想新战略为指导，坚决贯彻国家、省、市、县关于法治政府建设主要精神，结合工作实际，在今后的工作中采取更加切实可行的措施，不断推动法治政府建设。</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加强领导，形成合力。继续坚持和完善领导体制和工作机制，形成统一规划部署，各部门齐抓共管、密切配合、各肩其责的工作格局。</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继续加强普法教育。围绕“八五”普法规划确定普法目标和任务，结合我镇实际，接续开展形式多样的普法宣传活动，大力宣传法律知识，进一步增强人民群众利用法律武器保护自己合法权益的意识，形成崇尚法律、敬畏法律、遵守法律的良好社会氛围。继续深入开展“法律进乡村、进机关、进学校、进企业”等法治宣传活动，提升居民法律意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规范行政执法，继续加强执法队伍建设。深入开展对机关党员干部的行政执法相关法律法规的学习培训，培养执法人员的法治思维和法治理念，全面提高全镇机关干部的依法行政素质。进一步改进执法方式、提高执法素养，加强执法人员的学习培训力度，促进文明执法、公正执法，不断提升我镇法治政府建设水平。</w:t>
      </w: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双塔镇人民政府</w:t>
      </w:r>
    </w:p>
    <w:p>
      <w:pPr>
        <w:numPr>
          <w:ilvl w:val="0"/>
          <w:numId w:val="0"/>
        </w:numPr>
        <w:ind w:firstLine="640" w:firstLineChars="20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2023年2月23日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92ED4"/>
    <w:rsid w:val="08406EDB"/>
    <w:rsid w:val="14250EDB"/>
    <w:rsid w:val="5D5918B3"/>
    <w:rsid w:val="62221895"/>
    <w:rsid w:val="69FF07C7"/>
    <w:rsid w:val="71F04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2023-02-22T00:19:00Z</dcterms:created>
  <dc:creator>13781</dc:creator>
  <cp:lastModifiedBy>WPS_1648103670</cp:lastModifiedBy>
  <dcterms:modified xsi:type="dcterms:W3CDTF">2023-03-24T00:54:32Z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