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336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FF0000"/>
          <w:spacing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FF0000"/>
          <w:spacing w:val="0"/>
          <w:sz w:val="44"/>
          <w:szCs w:val="44"/>
          <w:lang w:val="en-US" w:eastAsia="zh-CN"/>
        </w:rPr>
        <w:t>民权县林七乡人民政府关于2022年度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336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FF0000"/>
          <w:spacing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FF0000"/>
          <w:spacing w:val="0"/>
          <w:sz w:val="44"/>
          <w:szCs w:val="44"/>
          <w:lang w:val="en-US" w:eastAsia="zh-CN"/>
        </w:rPr>
        <w:t>法治政府建设情况的报告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336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FF0000"/>
          <w:spacing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FF0000"/>
          <w:spacing w:val="0"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170815</wp:posOffset>
                </wp:positionV>
                <wp:extent cx="587502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05pt;margin-top:13.45pt;height:0pt;width:462.6pt;z-index:251660288;mso-width-relative:page;mso-height-relative:page;" filled="f" stroked="t" coordsize="21600,21600" o:gfxdata="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u3L/z2AAA&#10;AAkBAAAPAAAAAAAAAAEAIAAAACIAAABkcnMvZG93bnJldi54bWxQSwECFAAUAAAACACHTuJAXXXC&#10;xOUBAACyAwAADgAAAAAAAAABACAAAAAnAQAAZHJzL2Uyb0RvYy54bWxQSwUGAAAAAAYABgBZAQAA&#10;fgUAAAAA&#10;">
                <v:fill on="f" focussize="0,0"/>
                <v:stroke weight="1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FF0000"/>
          <w:spacing w:val="0"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125095</wp:posOffset>
                </wp:positionV>
                <wp:extent cx="587502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41705" y="1750695"/>
                          <a:ext cx="58750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85pt;margin-top:9.85pt;height:0pt;width:462.6pt;z-index:251659264;mso-width-relative:page;mso-height-relative:page;" filled="f" stroked="t" coordsize="21600,21600" o:gfxdata="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rVoAn2QAAAAkBAAAPAAAAAAAAAAEAIAAAACIAAABkcnMvZG93bnJldi54bWxQSwEC&#10;FAAUAAAACACHTuJABxqOkfMBAAC9AwAADgAAAAAAAAABACAAAAAoAQAAZHJzL2Uyb0RvYy54bWxQ&#10;SwUGAAAAAAYABgBZAQAAjQUAAAAA&#10;">
                <v:fill on="f" focussize="0,0"/>
                <v:stroke weight="1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022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年，在县委、县政府的坚强领导下，在各级各部门的大力支持下，我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严格依法履行法定职责，规范行政行为，进一步推进法治政府、规范化服务型政府建设，取得了较好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的成果，现将我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乡2022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年法治政府建设情况报告如下：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  <w:t>一、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2022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  <w:t>年法制政府建设情况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年，我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深入学习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习近平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新时代中国特色社会主义思想和党的十九大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及二十大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精神，坚持以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习近平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新时代中国特色社会主义思想为指导，自觉做到“两个维护”，不断增强“四个意识”纵深推进“法治、德治、自治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智治”四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治融合，扎实推进法治政府建设，努力建设法治政府示范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</w:rPr>
        <w:t>（一）加强组织领导，健全组织机构。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为全面推进法治政府建设工作，我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成立由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长任法治政府建设工作组长，分管领导任副组长，各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职能站所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负责人、村社区支书、村务监督委员会主任为成员的法治政府建设工作领导小组，并设立了办公室，形成在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党委、政府有力领导下，各办公室村社区整体联动，广大群众积极参与的工作格局，为我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加快推进法治政府建设工作提供了坚强组织保障。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</w:rPr>
        <w:t>（二）增强学法意识，提高执政能力。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法治意识要深入人心，形成内化于心外化于行的良好常态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。2022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年，我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结合“七五普法”、扫黑除恶专项斗争等工作，制定了领导干部学法、懂法、讲法用法计划，每季度组织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领导干部进行阶段性考试和抽选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各职能站所负责人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交流发言。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纪委组织开展廉政警示教育活动，进一步增强领导干部的学法意识和执政能力。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</w:rPr>
        <w:t>（三）加大宣传力度，营造良好氛围。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结合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巩固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脱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贫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攻坚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后评估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工作，利用到户帮扶工作之机送法上门，共计发放法治宣传册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2000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余份。同时，充分利用微信公众号、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短视频、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横幅、标语等进行宣传，营造人人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学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法、人人知法的良好氛围，不断增强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、村干部和群众的法治自觉性和责任感。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</w:rPr>
        <w:t>（四）提高信访监督，确保社会稳定。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党委、政府努力做好信访矛盾调处化解工作，以解决重点疑难问题为突破口，落实党委班子成员定期接访制度，明确了重点人群重点信访问题。综合运用法律、政策、经济，教育等手段，依法、及时、合理、有效地处理群众反映的实际问题.大力开展“平安建设”，以“七五”普法宣传教育为推手，紧抓案件办理和矛盾纠纷排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  <w:t>二、创新举措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</w:rPr>
        <w:t>一是严格完善规范性文件制定程序。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根据《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民权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县行政规范性文件管理办法》，我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严格规范文件制定程序和管理办法，按照法律法规、规章的规定进行听证或者公开征询公众意见，严格规范性文件合法性前置审查关，规范性文件必须由书记或者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长签字把关，未经书记、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长签字批准，不得上报、下发。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</w:rPr>
        <w:t>二是严格落实文件管理登记制度。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对形成的规范性文件分类进行统一登记统一编号、统一公布，对日常办公资料、领导讲话、汇报材料、影像资料等分类别类收集整理，装订成册、立档归宗。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</w:rPr>
        <w:t>三是坚持村务、政务公开。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执行“村财民理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监管”制度，建立收支报账和财务审批等财务管理制度，成立村务监督管理委员会和村民理财小组，完善村级财务公开制度，及时真实地公开相关信息，确保村级财务收支状况晒在阳光下，充分保障村民的知情权、参与权。建立完善“四议两公开”、政务公开等制度，严格执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党中央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“八项规定”严格控制“三公经费”，严格差旅标准，严格落实廉政制度，严格实行政府采买程序严格各项经费支出审批程序，实行重大支出书记、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长双签制，严格执行重大财务事项审计和离任村干部审计。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  <w:t>三、存在问题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</w:rPr>
        <w:t>一是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创新方法、依法行政水平有待进一步提升。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</w:rPr>
        <w:t>二是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村社区普法教育力度有待进一步加强。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</w:rPr>
        <w:t>三是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法治政府建设相关制度有待进一步完善。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  <w:t>四、下一步工作打算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年我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将进一步提高认识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增加法治政府建设工作的责任感和紧迫感，努力提高政府依法行政工作水平，推进法制政府、服务型政府建设。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</w:rPr>
        <w:t>（一）加强普法教育，严格落实普法责任制。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一是要深入抓好领导干部学法用法，不断提高依法行政能力，切实加强法律培训，努力提高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干部的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法律素质和依法办事能力。领导干部要通过加强自身的法治教育和学习，牢固树立法律权威至上、法律大于权力、权力服从法律的观念，在发展经济社会事务、协调处理矛盾纠纷时，善于运用法律手段解决问题。建立并坚持领导干部学法制度，定期对其进行法律知识学习培训，提高领导干部的政治和法律业务素质，增强干部依法行政的能力，树立良好的法治政府形象，加快法治政府建设，推进全社会依法行政。二要抓住群众普法教育不放松。加大对农村法制宣传，利用灵活多样的宣传形式，大力宣传法律知识依法行政，让群众知法、学法，增强他们利用法律武器保护自己合法权益的意识，推进法治政府建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</w:rPr>
        <w:t>（二）拓展创新方法，着力提高依法行政水平。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一是要找准切入点，打好法治工作基础。全面推进依法行政，需要领导的高度重视和一支政治强、作风硬、业务精的政府法制工作队伍。要在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依法行政工作领导小组的基础上，探索建立以纪委、人大为主的监督管理机构，负责对依法行政工作的监督和对违法案件的处理。高标准严要求配备法制工作队伍，制定法制工作人员素质培训计划，逐步实现人员专业化的目标。二是严格执行依法行政工作考核制度，规范行政执法行为，提高依法行政能力。三是充分发挥人大主席团参谋、监督、助手作用。加强政府决策调研，探索思考政府职能转变及体制改革等前沿问题，拓宽依法行政的思路探索解决政府及部门工作中的行政执法问题，发挥助手作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</w:rPr>
        <w:t>（三）进一步完善相关制度，加强法治政府建设。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进一步完善相关法制法规和制度紧紧围绕职能科学、权法定、执法严明、公开公正、廉洁高效、守法诚信”法治政府的总体建设目标，通过深化行政审批制度改革，完善政务服务系统，健全政府法律顾问制度，健全依法决策机制加强规范性文件监管，加强行政执法监备检查，改进行政执法完善政府内部监督，强化重点领域监督，从而强化对行政权力的制约和监督。结合不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村委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的实际情况有计划有步骤地完善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村委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法治建设的各项规章制度，逐步建立行为规范运转协调、公正透明、廉洁高效的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村委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法治管理体制，全面推进村务公开不断深化法治政府建设。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             民权县林七乡人民政府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              2023年2月22日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2NThlYTc4Njg1NTMwMmExZDI4MWViYTI0ZmZjMTAifQ=="/>
  </w:docVars>
  <w:rsids>
    <w:rsidRoot w:val="00000000"/>
    <w:rsid w:val="03771FAF"/>
    <w:rsid w:val="05EF3F4F"/>
    <w:rsid w:val="19F73752"/>
    <w:rsid w:val="4C5D67C1"/>
    <w:rsid w:val="65671AE0"/>
    <w:rsid w:val="6DF45B20"/>
    <w:rsid w:val="7FBA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2410</Words>
  <Characters>2438</Characters>
  <Lines>0</Lines>
  <Paragraphs>0</Paragraphs>
  <TotalTime>4</TotalTime>
  <ScaleCrop>false</ScaleCrop>
  <LinksUpToDate>false</LinksUpToDate>
  <CharactersWithSpaces>2509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2023-02-22T03:04:00Z</dcterms:created>
  <dc:creator>Administrator</dc:creator>
  <cp:lastModifiedBy>千菊丸</cp:lastModifiedBy>
  <cp:lastPrinted>2023-03-14T02:34:00Z</cp:lastPrinted>
  <dcterms:modified xsi:type="dcterms:W3CDTF">2023-03-14T02:38:45Z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3576AE128C3E4DFFA5EDD977925A808D</vt:lpwstr>
  </property>
</Properties>
</file>