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639" w:lineRule="atLeast"/>
        <w:rPr>
          <w:rFonts w:hint="eastAsia" w:ascii="文星仿宋" w:hAnsi="文星仿宋" w:eastAsia="文星仿宋"/>
          <w:sz w:val="32"/>
          <w:szCs w:val="32"/>
        </w:rPr>
      </w:pPr>
      <w:r>
        <w:rPr>
          <w:rFonts w:hint="eastAsia" w:ascii="文星仿宋" w:hAnsi="文星仿宋" w:eastAsia="文星仿宋"/>
          <w:sz w:val="32"/>
          <w:szCs w:val="32"/>
        </w:rPr>
        <w:t xml:space="preserve">                            </w:t>
      </w:r>
    </w:p>
    <w:p>
      <w:pPr>
        <w:widowControl w:val="0"/>
        <w:spacing w:line="639" w:lineRule="atLeast"/>
        <w:rPr>
          <w:rFonts w:hint="eastAsia" w:ascii="文星仿宋" w:hAnsi="文星仿宋" w:eastAsia="文星仿宋"/>
          <w:sz w:val="32"/>
          <w:szCs w:val="32"/>
        </w:rPr>
      </w:pPr>
    </w:p>
    <w:p>
      <w:pPr>
        <w:widowControl w:val="0"/>
        <w:spacing w:line="639" w:lineRule="atLeast"/>
        <w:rPr>
          <w:rFonts w:hint="eastAsia" w:ascii="文星仿宋" w:hAnsi="文星仿宋" w:eastAsia="文星仿宋"/>
          <w:sz w:val="32"/>
          <w:szCs w:val="32"/>
        </w:rPr>
      </w:pPr>
    </w:p>
    <w:p>
      <w:pPr>
        <w:widowControl w:val="0"/>
        <w:spacing w:line="639" w:lineRule="atLeast"/>
        <w:rPr>
          <w:rFonts w:hint="eastAsia" w:ascii="文星仿宋" w:hAnsi="文星仿宋" w:eastAsia="文星仿宋"/>
          <w:sz w:val="32"/>
          <w:szCs w:val="32"/>
        </w:rPr>
      </w:pPr>
    </w:p>
    <w:p>
      <w:pPr>
        <w:widowControl w:val="0"/>
        <w:spacing w:line="639" w:lineRule="atLeast"/>
        <w:rPr>
          <w:rFonts w:hint="eastAsia" w:ascii="文星仿宋" w:hAnsi="文星仿宋" w:eastAsia="文星仿宋"/>
          <w:sz w:val="32"/>
          <w:szCs w:val="32"/>
        </w:rPr>
      </w:pPr>
    </w:p>
    <w:p>
      <w:pPr>
        <w:widowControl w:val="0"/>
        <w:spacing w:line="639" w:lineRule="atLeast"/>
        <w:jc w:val="center"/>
        <w:rPr>
          <w:rFonts w:hint="eastAsia" w:ascii="文星仿宋" w:hAnsi="文星仿宋" w:eastAsia="文星仿宋"/>
          <w:sz w:val="32"/>
          <w:szCs w:val="32"/>
        </w:rPr>
      </w:pPr>
      <w:r>
        <w:rPr>
          <w:rFonts w:hint="eastAsia" w:ascii="文星仿宋" w:hAnsi="文星仿宋" w:eastAsia="文星仿宋"/>
          <w:sz w:val="32"/>
          <w:szCs w:val="32"/>
        </w:rPr>
        <w:t>民政〔20</w:t>
      </w:r>
      <w:r>
        <w:rPr>
          <w:rFonts w:hint="eastAsia" w:ascii="文星仿宋" w:hAnsi="文星仿宋" w:eastAsia="文星仿宋"/>
          <w:sz w:val="32"/>
          <w:szCs w:val="32"/>
          <w:lang w:val="en-US" w:eastAsia="zh-CN"/>
        </w:rPr>
        <w:t>22</w:t>
      </w:r>
      <w:r>
        <w:rPr>
          <w:rFonts w:hint="eastAsia" w:ascii="文星仿宋" w:hAnsi="文星仿宋" w:eastAsia="文星仿宋"/>
          <w:sz w:val="32"/>
          <w:szCs w:val="32"/>
        </w:rPr>
        <w:t>〕</w:t>
      </w:r>
      <w:r>
        <w:rPr>
          <w:rFonts w:hint="eastAsia" w:ascii="文星仿宋" w:hAnsi="文星仿宋" w:eastAsia="文星仿宋"/>
          <w:sz w:val="32"/>
          <w:szCs w:val="32"/>
          <w:lang w:val="en-US" w:eastAsia="zh-CN"/>
        </w:rPr>
        <w:t>7</w:t>
      </w:r>
      <w:r>
        <w:rPr>
          <w:rFonts w:hint="eastAsia" w:ascii="文星仿宋" w:hAnsi="文星仿宋" w:eastAsia="文星仿宋"/>
          <w:sz w:val="32"/>
          <w:szCs w:val="32"/>
        </w:rPr>
        <w:t>号</w:t>
      </w:r>
    </w:p>
    <w:p>
      <w:pPr>
        <w:widowControl w:val="0"/>
        <w:spacing w:line="598" w:lineRule="atLeast"/>
        <w:jc w:val="center"/>
        <w:rPr>
          <w:rFonts w:hint="eastAsia" w:ascii="文星仿宋" w:hAnsi="文星仿宋" w:eastAsia="文星仿宋"/>
          <w:sz w:val="32"/>
          <w:szCs w:val="32"/>
        </w:rPr>
      </w:pPr>
    </w:p>
    <w:p>
      <w:pPr>
        <w:widowControl w:val="0"/>
        <w:spacing w:line="598" w:lineRule="atLeast"/>
        <w:jc w:val="center"/>
        <w:rPr>
          <w:rFonts w:hint="eastAsia" w:ascii="文星标宋" w:hAnsi="文星标宋" w:eastAsia="文星标宋"/>
          <w:sz w:val="32"/>
          <w:szCs w:val="32"/>
        </w:rPr>
      </w:pPr>
    </w:p>
    <w:p>
      <w:pPr>
        <w:widowControl w:val="0"/>
        <w:spacing w:line="723" w:lineRule="atLeast"/>
        <w:ind w:firstLine="0" w:firstLineChars="0"/>
        <w:jc w:val="center"/>
        <w:rPr>
          <w:rFonts w:hint="eastAsia" w:ascii="文星标宋" w:hAnsi="文星标宋" w:eastAsia="文星标宋"/>
          <w:sz w:val="44"/>
          <w:szCs w:val="44"/>
        </w:rPr>
      </w:pPr>
      <w:bookmarkStart w:id="0" w:name="_GoBack"/>
      <w:r>
        <w:rPr>
          <w:rFonts w:hint="eastAsia" w:ascii="文星标宋" w:hAnsi="文星标宋" w:eastAsia="文星标宋"/>
          <w:sz w:val="44"/>
          <w:szCs w:val="44"/>
        </w:rPr>
        <w:t>民权县人民政府</w:t>
      </w:r>
    </w:p>
    <w:p>
      <w:pPr>
        <w:widowControl w:val="0"/>
        <w:spacing w:line="717" w:lineRule="atLeast"/>
        <w:ind w:firstLine="0" w:firstLineChars="0"/>
        <w:jc w:val="center"/>
        <w:rPr>
          <w:rFonts w:hint="eastAsia" w:ascii="文星标宋" w:hAnsi="文星标宋" w:eastAsia="文星标宋"/>
          <w:sz w:val="44"/>
          <w:szCs w:val="44"/>
        </w:rPr>
      </w:pPr>
      <w:r>
        <w:rPr>
          <w:rFonts w:hint="eastAsia" w:ascii="文星标宋" w:hAnsi="文星标宋" w:eastAsia="文星标宋"/>
          <w:spacing w:val="-11"/>
          <w:sz w:val="44"/>
          <w:szCs w:val="44"/>
        </w:rPr>
        <w:t>印发</w:t>
      </w:r>
      <w:r>
        <w:rPr>
          <w:rFonts w:hint="eastAsia" w:ascii="方正小标宋简体" w:hAnsi="方正小标宋简体" w:eastAsia="方正小标宋简体" w:cs="方正小标宋简体"/>
          <w:b w:val="0"/>
          <w:bCs w:val="0"/>
          <w:sz w:val="44"/>
          <w:szCs w:val="44"/>
        </w:rPr>
        <w:t>关于促进房地产市场持续平稳健康发展的若干</w:t>
      </w:r>
      <w:r>
        <w:rPr>
          <w:rFonts w:hint="eastAsia" w:ascii="方正小标宋简体" w:hAnsi="方正小标宋简体" w:eastAsia="方正小标宋简体" w:cs="方正小标宋简体"/>
          <w:b w:val="0"/>
          <w:bCs w:val="0"/>
          <w:sz w:val="44"/>
          <w:szCs w:val="44"/>
          <w:lang w:eastAsia="zh-CN"/>
        </w:rPr>
        <w:t>措施</w:t>
      </w:r>
      <w:r>
        <w:rPr>
          <w:rFonts w:hint="eastAsia" w:ascii="文星标宋" w:hAnsi="文星标宋" w:eastAsia="文星标宋"/>
          <w:spacing w:val="-11"/>
          <w:sz w:val="44"/>
          <w:szCs w:val="44"/>
        </w:rPr>
        <w:t>的</w:t>
      </w:r>
      <w:r>
        <w:rPr>
          <w:rFonts w:hint="eastAsia" w:ascii="文星标宋" w:hAnsi="文星标宋" w:eastAsia="文星标宋"/>
          <w:sz w:val="44"/>
          <w:szCs w:val="44"/>
        </w:rPr>
        <w:t>通知</w:t>
      </w:r>
    </w:p>
    <w:bookmarkEnd w:id="0"/>
    <w:p>
      <w:pPr>
        <w:widowControl w:val="0"/>
        <w:spacing w:line="592" w:lineRule="atLeast"/>
        <w:ind w:firstLine="0" w:firstLineChars="0"/>
        <w:jc w:val="center"/>
        <w:rPr>
          <w:rFonts w:hint="eastAsia" w:ascii="文星仿宋" w:hAnsi="文星仿宋" w:eastAsia="文星仿宋"/>
          <w:sz w:val="32"/>
          <w:szCs w:val="32"/>
        </w:rPr>
      </w:pPr>
    </w:p>
    <w:p>
      <w:pPr>
        <w:widowControl w:val="0"/>
        <w:tabs>
          <w:tab w:val="left" w:pos="7370"/>
          <w:tab w:val="left" w:pos="7415"/>
        </w:tabs>
        <w:spacing w:line="592" w:lineRule="atLeast"/>
        <w:rPr>
          <w:rFonts w:hint="eastAsia" w:ascii="文星仿宋" w:hAnsi="文星仿宋" w:eastAsia="文星仿宋"/>
          <w:sz w:val="32"/>
          <w:szCs w:val="32"/>
        </w:rPr>
      </w:pPr>
      <w:r>
        <w:rPr>
          <w:rFonts w:hint="eastAsia" w:ascii="文星仿宋" w:hAnsi="文星仿宋" w:eastAsia="文星仿宋"/>
          <w:sz w:val="32"/>
          <w:szCs w:val="32"/>
        </w:rPr>
        <w:t>各乡（镇）人民政府，各街道办事处，县人民政府有关部门：</w:t>
      </w:r>
    </w:p>
    <w:p>
      <w:pPr>
        <w:widowControl w:val="0"/>
        <w:tabs>
          <w:tab w:val="left" w:pos="7370"/>
          <w:tab w:val="left" w:pos="7415"/>
        </w:tabs>
        <w:spacing w:line="592" w:lineRule="atLeast"/>
        <w:ind w:firstLine="639" w:firstLineChars="0"/>
        <w:rPr>
          <w:rFonts w:hint="eastAsia" w:ascii="文星仿宋" w:hAnsi="文星仿宋" w:eastAsia="文星仿宋"/>
          <w:sz w:val="32"/>
          <w:szCs w:val="32"/>
        </w:rPr>
      </w:pPr>
      <w:r>
        <w:rPr>
          <w:rFonts w:hint="eastAsia" w:ascii="文星仿宋" w:hAnsi="文星仿宋" w:eastAsia="文星仿宋"/>
          <w:sz w:val="32"/>
          <w:szCs w:val="32"/>
        </w:rPr>
        <w:t>现将《关于促进房地产市场持续平稳健康发展的若干</w:t>
      </w:r>
      <w:r>
        <w:rPr>
          <w:rFonts w:hint="eastAsia" w:ascii="文星仿宋" w:hAnsi="文星仿宋" w:eastAsia="文星仿宋"/>
          <w:sz w:val="32"/>
          <w:szCs w:val="32"/>
          <w:lang w:eastAsia="zh-CN"/>
        </w:rPr>
        <w:t>措施</w:t>
      </w:r>
      <w:r>
        <w:rPr>
          <w:rFonts w:hint="eastAsia" w:ascii="文星仿宋" w:hAnsi="文星仿宋" w:eastAsia="文星仿宋"/>
          <w:sz w:val="32"/>
          <w:szCs w:val="32"/>
        </w:rPr>
        <w:t>》印发给你们，请</w:t>
      </w:r>
      <w:r>
        <w:rPr>
          <w:rFonts w:hint="eastAsia" w:ascii="文星仿宋" w:hAnsi="文星仿宋" w:eastAsia="文星仿宋"/>
          <w:sz w:val="32"/>
          <w:szCs w:val="32"/>
          <w:lang w:eastAsia="zh-CN"/>
        </w:rPr>
        <w:t>结合实际，</w:t>
      </w:r>
      <w:r>
        <w:rPr>
          <w:rFonts w:hint="eastAsia" w:ascii="文星仿宋" w:hAnsi="文星仿宋" w:eastAsia="文星仿宋"/>
          <w:sz w:val="32"/>
          <w:szCs w:val="32"/>
        </w:rPr>
        <w:t>认真贯彻执行。</w:t>
      </w:r>
    </w:p>
    <w:p>
      <w:pPr>
        <w:widowControl w:val="0"/>
        <w:tabs>
          <w:tab w:val="left" w:pos="7370"/>
          <w:tab w:val="left" w:pos="7415"/>
        </w:tabs>
        <w:spacing w:line="592" w:lineRule="atLeast"/>
        <w:ind w:firstLine="639" w:firstLineChars="0"/>
        <w:rPr>
          <w:rFonts w:hint="eastAsia" w:ascii="文星仿宋" w:hAnsi="文星仿宋" w:eastAsia="文星仿宋"/>
          <w:sz w:val="32"/>
          <w:szCs w:val="32"/>
        </w:rPr>
      </w:pPr>
    </w:p>
    <w:p>
      <w:pPr>
        <w:widowControl w:val="0"/>
        <w:tabs>
          <w:tab w:val="left" w:pos="7370"/>
          <w:tab w:val="left" w:pos="7415"/>
        </w:tabs>
        <w:spacing w:line="592" w:lineRule="atLeast"/>
        <w:ind w:firstLine="639" w:firstLineChars="0"/>
        <w:rPr>
          <w:rFonts w:hint="eastAsia" w:ascii="文星仿宋" w:hAnsi="文星仿宋" w:eastAsia="文星仿宋"/>
          <w:sz w:val="32"/>
          <w:szCs w:val="32"/>
        </w:rPr>
      </w:pPr>
    </w:p>
    <w:p>
      <w:pPr>
        <w:widowControl w:val="0"/>
        <w:tabs>
          <w:tab w:val="left" w:pos="7370"/>
          <w:tab w:val="left" w:pos="7415"/>
        </w:tabs>
        <w:spacing w:line="592" w:lineRule="atLeast"/>
        <w:ind w:firstLine="639" w:firstLineChars="0"/>
        <w:rPr>
          <w:rFonts w:hint="eastAsia" w:ascii="文星仿宋" w:hAnsi="文星仿宋" w:eastAsia="文星仿宋"/>
          <w:sz w:val="32"/>
          <w:szCs w:val="32"/>
        </w:rPr>
      </w:pPr>
    </w:p>
    <w:p>
      <w:pPr>
        <w:widowControl w:val="0"/>
        <w:tabs>
          <w:tab w:val="left" w:pos="7370"/>
          <w:tab w:val="left" w:pos="7381"/>
          <w:tab w:val="left" w:pos="7415"/>
          <w:tab w:val="left" w:pos="7426"/>
        </w:tabs>
        <w:spacing w:line="592" w:lineRule="atLeast"/>
        <w:ind w:firstLine="639" w:firstLineChars="0"/>
        <w:rPr>
          <w:rFonts w:hint="eastAsia" w:ascii="文星仿宋" w:hAnsi="文星仿宋" w:eastAsia="文星仿宋"/>
          <w:sz w:val="32"/>
          <w:szCs w:val="32"/>
        </w:rPr>
      </w:pPr>
      <w:r>
        <w:rPr>
          <w:rFonts w:hint="eastAsia" w:ascii="文星仿宋" w:hAnsi="文星仿宋" w:eastAsia="文星仿宋"/>
          <w:sz w:val="32"/>
          <w:szCs w:val="32"/>
        </w:rPr>
        <w:t xml:space="preserve">     </w:t>
      </w:r>
      <w:r>
        <w:rPr>
          <w:rFonts w:hint="eastAsia" w:ascii="文星仿宋" w:hAnsi="文星仿宋" w:eastAsia="文星仿宋"/>
          <w:sz w:val="32"/>
          <w:szCs w:val="32"/>
          <w:lang w:val="en-US" w:eastAsia="zh-CN"/>
        </w:rPr>
        <w:t xml:space="preserve">              </w:t>
      </w:r>
      <w:r>
        <w:rPr>
          <w:rFonts w:hint="eastAsia" w:ascii="文星仿宋" w:hAnsi="文星仿宋" w:eastAsia="文星仿宋"/>
          <w:sz w:val="32"/>
          <w:szCs w:val="32"/>
        </w:rPr>
        <w:t xml:space="preserve">         20</w:t>
      </w:r>
      <w:r>
        <w:rPr>
          <w:rFonts w:hint="eastAsia" w:ascii="文星仿宋" w:hAnsi="文星仿宋" w:eastAsia="文星仿宋"/>
          <w:sz w:val="32"/>
          <w:szCs w:val="32"/>
          <w:lang w:val="en-US" w:eastAsia="zh-CN"/>
        </w:rPr>
        <w:t>22</w:t>
      </w:r>
      <w:r>
        <w:rPr>
          <w:rFonts w:hint="eastAsia" w:ascii="文星仿宋" w:hAnsi="文星仿宋" w:eastAsia="文星仿宋"/>
          <w:sz w:val="32"/>
          <w:szCs w:val="32"/>
        </w:rPr>
        <w:t>年</w:t>
      </w:r>
      <w:r>
        <w:rPr>
          <w:rFonts w:hint="eastAsia" w:ascii="文星仿宋" w:hAnsi="文星仿宋" w:eastAsia="文星仿宋"/>
          <w:sz w:val="32"/>
          <w:szCs w:val="32"/>
          <w:lang w:val="en-US" w:eastAsia="zh-CN"/>
        </w:rPr>
        <w:t>6</w:t>
      </w:r>
      <w:r>
        <w:rPr>
          <w:rFonts w:hint="eastAsia" w:ascii="文星仿宋" w:hAnsi="文星仿宋" w:eastAsia="文星仿宋"/>
          <w:sz w:val="32"/>
          <w:szCs w:val="32"/>
        </w:rPr>
        <w:t>月</w:t>
      </w:r>
      <w:r>
        <w:rPr>
          <w:rFonts w:hint="eastAsia" w:ascii="文星仿宋" w:hAnsi="文星仿宋" w:eastAsia="文星仿宋"/>
          <w:sz w:val="32"/>
          <w:szCs w:val="32"/>
          <w:lang w:val="en-US" w:eastAsia="zh-CN"/>
        </w:rPr>
        <w:t>17</w:t>
      </w:r>
      <w:r>
        <w:rPr>
          <w:rFonts w:hint="eastAsia" w:ascii="文星仿宋" w:hAnsi="文星仿宋" w:eastAsia="文星仿宋"/>
          <w:sz w:val="32"/>
          <w:szCs w:val="32"/>
        </w:rPr>
        <w:t>日</w:t>
      </w:r>
    </w:p>
    <w:p>
      <w:pPr>
        <w:widowControl w:val="0"/>
        <w:tabs>
          <w:tab w:val="left" w:pos="7370"/>
          <w:tab w:val="left" w:pos="7415"/>
        </w:tabs>
        <w:spacing w:line="598" w:lineRule="atLeast"/>
        <w:ind w:firstLine="639" w:firstLineChars="0"/>
        <w:rPr>
          <w:rFonts w:hint="eastAsia" w:ascii="文星仿宋" w:hAnsi="文星仿宋" w:eastAsia="文星仿宋"/>
          <w:sz w:val="32"/>
          <w:szCs w:val="32"/>
        </w:rPr>
      </w:pPr>
      <w:r>
        <w:rPr>
          <w:rFonts w:hint="eastAsia" w:ascii="文星仿宋" w:hAnsi="文星仿宋" w:eastAsia="文星仿宋"/>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关于促进房地产市场持续平稳健康发展的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若干</w:t>
      </w:r>
      <w:r>
        <w:rPr>
          <w:rFonts w:hint="eastAsia" w:ascii="方正小标宋简体" w:hAnsi="方正小标宋简体" w:eastAsia="方正小标宋简体" w:cs="方正小标宋简体"/>
          <w:b w:val="0"/>
          <w:bCs w:val="0"/>
          <w:sz w:val="44"/>
          <w:szCs w:val="44"/>
          <w:lang w:eastAsia="zh-CN"/>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为贯彻落实党中央、国务院</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省委省政府</w:t>
      </w:r>
      <w:r>
        <w:rPr>
          <w:rFonts w:hint="eastAsia" w:ascii="仿宋" w:hAnsi="仿宋" w:eastAsia="仿宋" w:cs="仿宋"/>
          <w:sz w:val="32"/>
          <w:szCs w:val="32"/>
          <w:u w:val="none"/>
          <w:lang w:eastAsia="zh-CN"/>
        </w:rPr>
        <w:t>和市委市政府</w:t>
      </w:r>
      <w:r>
        <w:rPr>
          <w:rFonts w:hint="eastAsia" w:ascii="仿宋" w:hAnsi="仿宋" w:eastAsia="仿宋" w:cs="仿宋"/>
          <w:sz w:val="32"/>
          <w:szCs w:val="32"/>
          <w:u w:val="none"/>
        </w:rPr>
        <w:t>决策部署，坚持房子是用来住的、不是用来炒的定位，因城施策，</w:t>
      </w:r>
      <w:r>
        <w:rPr>
          <w:rFonts w:hint="eastAsia" w:ascii="仿宋" w:hAnsi="仿宋" w:eastAsia="仿宋" w:cs="仿宋"/>
          <w:sz w:val="32"/>
          <w:szCs w:val="32"/>
          <w:u w:val="none"/>
          <w:lang w:eastAsia="zh-CN"/>
        </w:rPr>
        <w:t>激发市场主体活力，实现稳地价、稳房价、稳预期目标，</w:t>
      </w:r>
      <w:r>
        <w:rPr>
          <w:rFonts w:hint="eastAsia" w:ascii="仿宋" w:hAnsi="仿宋" w:eastAsia="仿宋" w:cs="仿宋"/>
          <w:sz w:val="32"/>
          <w:szCs w:val="32"/>
          <w:u w:val="none"/>
        </w:rPr>
        <w:t>支持刚性和改善性住房需求，促进房地产市场持续平稳健康发展</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结合我</w:t>
      </w:r>
      <w:r>
        <w:rPr>
          <w:rFonts w:hint="eastAsia" w:ascii="仿宋" w:hAnsi="仿宋" w:eastAsia="仿宋" w:cs="仿宋"/>
          <w:sz w:val="32"/>
          <w:szCs w:val="32"/>
          <w:u w:val="none"/>
          <w:lang w:eastAsia="zh-CN"/>
        </w:rPr>
        <w:t>县</w:t>
      </w:r>
      <w:r>
        <w:rPr>
          <w:rFonts w:hint="eastAsia" w:ascii="仿宋" w:hAnsi="仿宋" w:eastAsia="仿宋" w:cs="仿宋"/>
          <w:sz w:val="32"/>
          <w:szCs w:val="32"/>
          <w:u w:val="none"/>
        </w:rPr>
        <w:t>实际，</w:t>
      </w:r>
      <w:r>
        <w:rPr>
          <w:rFonts w:hint="eastAsia" w:ascii="仿宋" w:hAnsi="仿宋" w:eastAsia="仿宋" w:cs="仿宋"/>
          <w:sz w:val="32"/>
          <w:szCs w:val="32"/>
          <w:u w:val="none"/>
          <w:lang w:eastAsia="zh-CN"/>
        </w:rPr>
        <w:t>制定如下措施：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rPr>
        <w:t>一、</w:t>
      </w:r>
      <w:r>
        <w:rPr>
          <w:rFonts w:hint="eastAsia" w:ascii="黑体" w:hAnsi="黑体" w:eastAsia="黑体" w:cs="黑体"/>
          <w:sz w:val="32"/>
          <w:szCs w:val="32"/>
          <w:u w:val="none"/>
          <w:lang w:eastAsia="zh-CN"/>
        </w:rPr>
        <w:t>支持居民合理性住房消费需求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lang w:eastAsia="zh-CN"/>
        </w:rPr>
      </w:pPr>
      <w:r>
        <w:rPr>
          <w:rFonts w:hint="eastAsia" w:ascii="楷体" w:hAnsi="楷体" w:eastAsia="楷体" w:cs="楷体"/>
          <w:sz w:val="32"/>
          <w:szCs w:val="32"/>
          <w:u w:val="none"/>
          <w:lang w:val="en-US" w:eastAsia="zh-CN"/>
        </w:rPr>
        <w:t>（一）满足不同群体住房需求。</w:t>
      </w:r>
      <w:r>
        <w:rPr>
          <w:rFonts w:hint="eastAsia" w:ascii="仿宋" w:hAnsi="仿宋" w:eastAsia="仿宋" w:cs="仿宋"/>
          <w:sz w:val="32"/>
          <w:szCs w:val="32"/>
          <w:u w:val="none"/>
          <w:lang w:val="en-US" w:eastAsia="zh-CN"/>
        </w:rPr>
        <w:t>采取发放购房券、购房补贴、契税补贴等方式，支持人才购房落户和城乡居民合理住房需求。重点解决符合条件的新市民、青年人等群体的住房困难问题。</w:t>
      </w:r>
      <w:r>
        <w:rPr>
          <w:rFonts w:hint="eastAsia" w:ascii="仿宋" w:hAnsi="仿宋" w:eastAsia="仿宋" w:cs="仿宋"/>
          <w:sz w:val="32"/>
          <w:szCs w:val="32"/>
          <w:u w:val="none"/>
        </w:rPr>
        <w:t>支持刚性住房需求</w:t>
      </w:r>
      <w:r>
        <w:rPr>
          <w:rFonts w:hint="eastAsia" w:ascii="仿宋" w:hAnsi="仿宋" w:eastAsia="仿宋" w:cs="仿宋"/>
          <w:sz w:val="32"/>
          <w:szCs w:val="32"/>
          <w:u w:val="none"/>
          <w:lang w:eastAsia="zh-CN"/>
        </w:rPr>
        <w:t>，凡于</w:t>
      </w:r>
      <w:r>
        <w:rPr>
          <w:rFonts w:hint="eastAsia" w:ascii="仿宋" w:hAnsi="仿宋" w:eastAsia="仿宋" w:cs="仿宋"/>
          <w:sz w:val="32"/>
          <w:szCs w:val="32"/>
          <w:u w:val="none"/>
          <w:lang w:val="en-US" w:eastAsia="zh-CN"/>
        </w:rPr>
        <w:t>2022年6月17日至2022年9月30日期间在我县</w:t>
      </w:r>
      <w:r>
        <w:rPr>
          <w:rFonts w:hint="eastAsia" w:ascii="仿宋" w:hAnsi="仿宋" w:eastAsia="仿宋" w:cs="仿宋"/>
          <w:kern w:val="2"/>
          <w:sz w:val="32"/>
          <w:szCs w:val="32"/>
          <w:u w:val="none"/>
          <w:vertAlign w:val="baseline"/>
          <w:lang w:val="en-US" w:eastAsia="zh-CN" w:bidi="ar-SA"/>
        </w:rPr>
        <w:t>购买首套普通商品房的个人，一次性给予10000元补贴</w:t>
      </w:r>
      <w:r>
        <w:rPr>
          <w:rFonts w:hint="eastAsia" w:ascii="仿宋" w:hAnsi="仿宋" w:eastAsia="仿宋" w:cs="仿宋"/>
          <w:sz w:val="32"/>
          <w:szCs w:val="32"/>
          <w:u w:val="none"/>
        </w:rPr>
        <w:t>。</w:t>
      </w:r>
      <w:r>
        <w:rPr>
          <w:rFonts w:hint="eastAsia" w:ascii="仿宋" w:hAnsi="仿宋" w:eastAsia="仿宋" w:cs="仿宋"/>
          <w:strike w:val="0"/>
          <w:dstrike w:val="0"/>
          <w:sz w:val="32"/>
          <w:szCs w:val="32"/>
          <w:u w:val="none"/>
          <w:lang w:val="en-US" w:eastAsia="zh-CN"/>
        </w:rPr>
        <w:t>修订完善《民权县县城房屋征收</w:t>
      </w:r>
      <w:r>
        <w:rPr>
          <w:rFonts w:hint="eastAsia" w:ascii="仿宋" w:hAnsi="仿宋" w:eastAsia="仿宋" w:cs="仿宋"/>
          <w:strike w:val="0"/>
          <w:dstrike w:val="0"/>
          <w:sz w:val="32"/>
          <w:szCs w:val="32"/>
          <w:u w:val="none"/>
        </w:rPr>
        <w:t>房票安置办法</w:t>
      </w:r>
      <w:r>
        <w:rPr>
          <w:rFonts w:hint="eastAsia" w:ascii="仿宋" w:hAnsi="仿宋" w:eastAsia="仿宋" w:cs="仿宋"/>
          <w:strike w:val="0"/>
          <w:dstrike w:val="0"/>
          <w:sz w:val="32"/>
          <w:szCs w:val="32"/>
          <w:u w:val="none"/>
          <w:lang w:val="en-US" w:eastAsia="zh-CN"/>
        </w:rPr>
        <w:t>》，</w:t>
      </w:r>
      <w:r>
        <w:rPr>
          <w:rFonts w:hint="eastAsia" w:ascii="仿宋" w:hAnsi="仿宋" w:eastAsia="仿宋" w:cs="仿宋"/>
          <w:strike w:val="0"/>
          <w:dstrike w:val="0"/>
          <w:sz w:val="32"/>
          <w:szCs w:val="32"/>
          <w:u w:val="none"/>
          <w:lang w:eastAsia="zh-CN"/>
        </w:rPr>
        <w:t>通过发放“购房劵”等住房消费支持政策</w:t>
      </w:r>
      <w:r>
        <w:rPr>
          <w:rFonts w:hint="eastAsia" w:ascii="仿宋" w:hAnsi="仿宋" w:eastAsia="仿宋" w:cs="仿宋"/>
          <w:strike w:val="0"/>
          <w:dstrike w:val="0"/>
          <w:sz w:val="32"/>
          <w:szCs w:val="32"/>
          <w:u w:val="none"/>
        </w:rPr>
        <w:t>购买商品房</w:t>
      </w:r>
      <w:r>
        <w:rPr>
          <w:rFonts w:hint="eastAsia" w:ascii="仿宋" w:hAnsi="仿宋" w:eastAsia="仿宋" w:cs="仿宋"/>
          <w:strike w:val="0"/>
          <w:dstrike w:val="0"/>
          <w:sz w:val="32"/>
          <w:szCs w:val="32"/>
          <w:u w:val="none"/>
          <w:lang w:eastAsia="zh-CN"/>
        </w:rPr>
        <w:t>用于</w:t>
      </w:r>
      <w:r>
        <w:rPr>
          <w:rFonts w:hint="eastAsia" w:ascii="仿宋" w:hAnsi="仿宋" w:eastAsia="仿宋" w:cs="仿宋"/>
          <w:strike w:val="0"/>
          <w:dstrike w:val="0"/>
          <w:sz w:val="32"/>
          <w:szCs w:val="32"/>
          <w:u w:val="none"/>
        </w:rPr>
        <w:t>安置</w:t>
      </w:r>
      <w:r>
        <w:rPr>
          <w:rFonts w:hint="eastAsia" w:ascii="仿宋" w:hAnsi="仿宋" w:eastAsia="仿宋" w:cs="仿宋"/>
          <w:strike w:val="0"/>
          <w:dstrike w:val="0"/>
          <w:sz w:val="32"/>
          <w:szCs w:val="32"/>
          <w:u w:val="none"/>
          <w:lang w:eastAsia="zh-CN"/>
        </w:rPr>
        <w:t>。</w:t>
      </w:r>
      <w:r>
        <w:rPr>
          <w:rFonts w:hint="eastAsia" w:ascii="仿宋" w:hAnsi="仿宋" w:eastAsia="仿宋" w:cs="仿宋"/>
          <w:sz w:val="32"/>
          <w:szCs w:val="32"/>
          <w:u w:val="none"/>
          <w:lang w:eastAsia="zh-CN"/>
        </w:rPr>
        <w:t>鼓励购买存量商品房用于安置房、保障性租赁住房。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bCs/>
          <w:sz w:val="32"/>
          <w:szCs w:val="32"/>
          <w:u w:val="none"/>
          <w:lang w:val="en-US" w:eastAsia="zh-CN"/>
        </w:rPr>
      </w:pPr>
      <w:r>
        <w:rPr>
          <w:rFonts w:hint="eastAsia" w:ascii="楷体" w:hAnsi="楷体" w:eastAsia="楷体" w:cs="楷体"/>
          <w:sz w:val="32"/>
          <w:szCs w:val="32"/>
          <w:u w:val="none"/>
          <w:lang w:val="en-US" w:eastAsia="zh-CN"/>
        </w:rPr>
        <w:t>（二）限时段实行购房契税补贴。</w:t>
      </w:r>
      <w:r>
        <w:rPr>
          <w:rFonts w:hint="eastAsia" w:ascii="仿宋" w:hAnsi="仿宋" w:eastAsia="仿宋" w:cs="仿宋"/>
          <w:sz w:val="32"/>
          <w:szCs w:val="32"/>
          <w:u w:val="none"/>
          <w:lang w:val="en-US" w:eastAsia="zh-CN"/>
        </w:rPr>
        <w:t>凡在2022年6月17日至9月30日期间在我县</w:t>
      </w:r>
      <w:r>
        <w:rPr>
          <w:rFonts w:hint="eastAsia" w:ascii="仿宋" w:hAnsi="仿宋" w:eastAsia="仿宋" w:cs="仿宋"/>
          <w:kern w:val="2"/>
          <w:sz w:val="32"/>
          <w:szCs w:val="32"/>
          <w:u w:val="none"/>
          <w:vertAlign w:val="baseline"/>
          <w:lang w:val="en-US" w:eastAsia="zh-CN" w:bidi="ar-SA"/>
        </w:rPr>
        <w:t>购买首套新建商品房且缴纳契税（以完税凭证所载日期为准）的购房人</w:t>
      </w:r>
      <w:r>
        <w:rPr>
          <w:rFonts w:hint="eastAsia" w:ascii="仿宋" w:hAnsi="仿宋" w:eastAsia="仿宋" w:cs="仿宋"/>
          <w:sz w:val="32"/>
          <w:szCs w:val="32"/>
          <w:u w:val="none"/>
          <w:lang w:val="en-US" w:eastAsia="zh-CN"/>
        </w:rPr>
        <w:t>，采取“先征后补”的方式，每套房只能享受一次补贴，按照缴纳契税总额的15%给予补贴。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trike w:val="0"/>
          <w:dstrike w:val="0"/>
          <w:sz w:val="32"/>
          <w:szCs w:val="32"/>
          <w:u w:val="none"/>
        </w:rPr>
        <w:t>（</w:t>
      </w:r>
      <w:r>
        <w:rPr>
          <w:rFonts w:hint="eastAsia" w:ascii="楷体" w:hAnsi="楷体" w:eastAsia="楷体" w:cs="楷体"/>
          <w:strike w:val="0"/>
          <w:dstrike w:val="0"/>
          <w:color w:val="000000" w:themeColor="text1"/>
          <w:sz w:val="32"/>
          <w:szCs w:val="32"/>
          <w:u w:val="none"/>
          <w14:textFill>
            <w14:solidFill>
              <w14:schemeClr w14:val="tx1"/>
            </w14:solidFill>
          </w14:textFill>
        </w:rPr>
        <w:t>三）</w:t>
      </w:r>
      <w:r>
        <w:rPr>
          <w:rFonts w:hint="eastAsia" w:ascii="楷体" w:hAnsi="楷体" w:eastAsia="楷体" w:cs="楷体"/>
          <w:strike w:val="0"/>
          <w:dstrike w:val="0"/>
          <w:color w:val="000000" w:themeColor="text1"/>
          <w:sz w:val="32"/>
          <w:szCs w:val="32"/>
          <w:u w:val="none"/>
          <w:lang w:eastAsia="zh-CN"/>
          <w14:textFill>
            <w14:solidFill>
              <w14:schemeClr w14:val="tx1"/>
            </w14:solidFill>
          </w14:textFill>
        </w:rPr>
        <w:t>提供便利均等公共服务</w:t>
      </w:r>
      <w:r>
        <w:rPr>
          <w:rFonts w:hint="eastAsia" w:ascii="楷体" w:hAnsi="楷体" w:eastAsia="楷体" w:cs="楷体"/>
          <w:strike w:val="0"/>
          <w:dstrike w:val="0"/>
          <w:color w:val="000000" w:themeColor="text1"/>
          <w:sz w:val="32"/>
          <w:szCs w:val="32"/>
          <w:u w:val="none"/>
          <w14:textFill>
            <w14:solidFill>
              <w14:schemeClr w14:val="tx1"/>
            </w14:solidFill>
          </w14:textFill>
        </w:rPr>
        <w:t>。</w:t>
      </w:r>
      <w:r>
        <w:rPr>
          <w:rFonts w:hint="eastAsia" w:ascii="仿宋" w:hAnsi="仿宋" w:eastAsia="仿宋" w:cs="仿宋"/>
          <w:strike w:val="0"/>
          <w:dstrike w:val="0"/>
          <w:color w:val="000000" w:themeColor="text1"/>
          <w:sz w:val="32"/>
          <w:szCs w:val="32"/>
          <w:u w:val="none"/>
          <w14:textFill>
            <w14:solidFill>
              <w14:schemeClr w14:val="tx1"/>
            </w14:solidFill>
          </w14:textFill>
        </w:rPr>
        <w:t>农民工、外来务工人员等进城购房</w:t>
      </w:r>
      <w:r>
        <w:rPr>
          <w:rFonts w:hint="eastAsia" w:ascii="仿宋" w:hAnsi="仿宋" w:eastAsia="仿宋" w:cs="仿宋"/>
          <w:strike w:val="0"/>
          <w:dstrike w:val="0"/>
          <w:sz w:val="32"/>
          <w:szCs w:val="32"/>
          <w:u w:val="none"/>
          <w:lang w:val="en-US" w:eastAsia="zh-CN"/>
        </w:rPr>
        <w:t>签订商品房买卖合同、网签备案、取得不动产证</w:t>
      </w:r>
      <w:r>
        <w:rPr>
          <w:rFonts w:hint="eastAsia" w:ascii="仿宋" w:hAnsi="仿宋" w:eastAsia="仿宋" w:cs="仿宋"/>
          <w:strike w:val="0"/>
          <w:dstrike w:val="0"/>
          <w:color w:val="000000" w:themeColor="text1"/>
          <w:sz w:val="32"/>
          <w:szCs w:val="32"/>
          <w:u w:val="none"/>
          <w14:textFill>
            <w14:solidFill>
              <w14:schemeClr w14:val="tx1"/>
            </w14:solidFill>
          </w14:textFill>
        </w:rPr>
        <w:t>后，</w:t>
      </w:r>
      <w:r>
        <w:rPr>
          <w:rFonts w:hint="eastAsia" w:ascii="仿宋" w:hAnsi="仿宋" w:eastAsia="仿宋" w:cs="仿宋"/>
          <w:strike w:val="0"/>
          <w:sz w:val="32"/>
          <w:szCs w:val="32"/>
          <w:u w:val="none"/>
        </w:rPr>
        <w:t>对购</w:t>
      </w:r>
      <w:r>
        <w:rPr>
          <w:rFonts w:hint="eastAsia" w:ascii="仿宋" w:hAnsi="仿宋" w:eastAsia="仿宋" w:cs="仿宋"/>
          <w:sz w:val="32"/>
          <w:szCs w:val="32"/>
          <w:u w:val="none"/>
        </w:rPr>
        <w:t>房家庭子女户籍迁入购房地</w:t>
      </w:r>
      <w:r>
        <w:rPr>
          <w:rFonts w:hint="eastAsia" w:ascii="仿宋" w:hAnsi="仿宋" w:eastAsia="仿宋" w:cs="仿宋"/>
          <w:sz w:val="32"/>
          <w:szCs w:val="32"/>
          <w:u w:val="none"/>
          <w:lang w:eastAsia="zh-CN"/>
        </w:rPr>
        <w:t>的</w:t>
      </w:r>
      <w:r>
        <w:rPr>
          <w:rFonts w:hint="eastAsia" w:ascii="仿宋" w:hAnsi="仿宋" w:eastAsia="仿宋" w:cs="仿宋"/>
          <w:sz w:val="32"/>
          <w:szCs w:val="32"/>
          <w:u w:val="none"/>
        </w:rPr>
        <w:t>，按照免试就近入学原则</w:t>
      </w:r>
      <w:r>
        <w:rPr>
          <w:rFonts w:hint="eastAsia" w:ascii="仿宋" w:hAnsi="仿宋" w:eastAsia="仿宋" w:cs="仿宋"/>
          <w:sz w:val="32"/>
          <w:szCs w:val="32"/>
          <w:u w:val="none"/>
          <w:lang w:eastAsia="zh-CN"/>
        </w:rPr>
        <w:t>优先</w:t>
      </w:r>
      <w:r>
        <w:rPr>
          <w:rFonts w:hint="eastAsia" w:ascii="仿宋" w:hAnsi="仿宋" w:eastAsia="仿宋" w:cs="仿宋"/>
          <w:sz w:val="32"/>
          <w:szCs w:val="32"/>
          <w:u w:val="none"/>
        </w:rPr>
        <w:t>安排入学。对购房家庭子女属于进城务工人员随迁子女的，按照进城务工人员随迁子女入学政策予以安排。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（四）提升住宅小区品质。</w:t>
      </w:r>
      <w:r>
        <w:rPr>
          <w:rFonts w:hint="eastAsia" w:ascii="仿宋" w:hAnsi="仿宋" w:eastAsia="仿宋" w:cs="仿宋"/>
          <w:sz w:val="32"/>
          <w:szCs w:val="32"/>
          <w:u w:val="none"/>
        </w:rPr>
        <w:t>优化住宅供应套型，规划建设绿色建筑、装配式建筑等健康、节能、舒适的高品质住宅区，推动住宅产品升级换代，推广成品住宅。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楷体" w:hAnsi="楷体" w:eastAsia="楷体" w:cs="楷体"/>
          <w:sz w:val="32"/>
          <w:szCs w:val="32"/>
          <w:u w:val="none"/>
        </w:rPr>
        <w:t>（五</w:t>
      </w:r>
      <w:r>
        <w:rPr>
          <w:rFonts w:hint="eastAsia" w:ascii="楷体" w:hAnsi="楷体" w:eastAsia="楷体" w:cs="楷体"/>
          <w:sz w:val="32"/>
          <w:szCs w:val="32"/>
          <w:u w:val="none"/>
          <w:lang w:eastAsia="zh-CN"/>
        </w:rPr>
        <w:t>）支持</w:t>
      </w:r>
      <w:r>
        <w:rPr>
          <w:rFonts w:hint="eastAsia" w:ascii="楷体" w:hAnsi="楷体" w:eastAsia="楷体" w:cs="楷体"/>
          <w:sz w:val="32"/>
          <w:szCs w:val="32"/>
          <w:u w:val="none"/>
        </w:rPr>
        <w:t>产销对接商品住房。</w:t>
      </w:r>
      <w:r>
        <w:rPr>
          <w:rFonts w:hint="eastAsia" w:ascii="仿宋" w:hAnsi="仿宋" w:eastAsia="仿宋" w:cs="仿宋"/>
          <w:sz w:val="32"/>
          <w:szCs w:val="32"/>
          <w:u w:val="none"/>
          <w:lang w:val="en-US" w:eastAsia="zh-CN"/>
        </w:rPr>
        <w:t>在本措施执行期间，</w:t>
      </w:r>
      <w:r>
        <w:rPr>
          <w:rFonts w:hint="eastAsia" w:ascii="仿宋" w:hAnsi="仿宋" w:eastAsia="仿宋" w:cs="仿宋"/>
          <w:sz w:val="32"/>
          <w:szCs w:val="32"/>
          <w:u w:val="none"/>
        </w:rPr>
        <w:t>通过产销对接一次性购买已办理预售许可证的在售普通商品住房超过</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套</w:t>
      </w:r>
      <w:r>
        <w:rPr>
          <w:rFonts w:hint="eastAsia" w:ascii="仿宋" w:hAnsi="仿宋" w:eastAsia="仿宋" w:cs="仿宋"/>
          <w:sz w:val="32"/>
          <w:szCs w:val="32"/>
          <w:u w:val="none"/>
          <w:lang w:eastAsia="zh-CN"/>
        </w:rPr>
        <w:t>（含）</w:t>
      </w:r>
      <w:r>
        <w:rPr>
          <w:rFonts w:hint="eastAsia" w:ascii="仿宋" w:hAnsi="仿宋" w:eastAsia="仿宋" w:cs="仿宋"/>
          <w:sz w:val="32"/>
          <w:szCs w:val="32"/>
          <w:u w:val="none"/>
        </w:rPr>
        <w:t>并办理网签手续的，销售最低价格由组织单位与开发企业共同协商确定</w:t>
      </w:r>
      <w:r>
        <w:rPr>
          <w:rFonts w:hint="eastAsia" w:ascii="仿宋" w:hAnsi="仿宋" w:eastAsia="仿宋" w:cs="仿宋"/>
          <w:color w:val="000000" w:themeColor="text1"/>
          <w:sz w:val="32"/>
          <w:szCs w:val="32"/>
          <w:u w:val="none"/>
          <w14:textFill>
            <w14:solidFill>
              <w14:schemeClr w14:val="tx1"/>
            </w14:solidFill>
          </w14:textFill>
        </w:rPr>
        <w:t>。允许多市场主体抱团拿地，按照利益共享、风险共担原则以多种合作方式开发建设商品房。</w:t>
      </w:r>
      <w:r>
        <w:rPr>
          <w:rFonts w:hint="eastAsia" w:ascii="仿宋" w:hAnsi="仿宋" w:eastAsia="仿宋" w:cs="仿宋"/>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二、</w:t>
      </w:r>
      <w:r>
        <w:rPr>
          <w:rFonts w:hint="eastAsia" w:ascii="黑体" w:hAnsi="黑体" w:eastAsia="黑体" w:cs="黑体"/>
          <w:sz w:val="32"/>
          <w:szCs w:val="32"/>
          <w:u w:val="none"/>
          <w:lang w:val="en-US" w:eastAsia="zh-CN"/>
        </w:rPr>
        <w:t>加大政策支持力度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楷体" w:hAnsi="楷体" w:eastAsia="楷体" w:cs="楷体"/>
          <w:sz w:val="32"/>
          <w:szCs w:val="32"/>
          <w:u w:val="none"/>
        </w:rPr>
        <w:t>（</w:t>
      </w:r>
      <w:r>
        <w:rPr>
          <w:rFonts w:hint="eastAsia" w:ascii="楷体" w:hAnsi="楷体" w:eastAsia="楷体" w:cs="楷体"/>
          <w:sz w:val="32"/>
          <w:szCs w:val="32"/>
          <w:u w:val="none"/>
          <w:lang w:eastAsia="zh-CN"/>
        </w:rPr>
        <w:t>六</w:t>
      </w:r>
      <w:r>
        <w:rPr>
          <w:rFonts w:hint="eastAsia" w:ascii="楷体" w:hAnsi="楷体" w:eastAsia="楷体" w:cs="楷体"/>
          <w:sz w:val="32"/>
          <w:szCs w:val="32"/>
          <w:u w:val="none"/>
        </w:rPr>
        <w:t>）</w:t>
      </w:r>
      <w:r>
        <w:rPr>
          <w:rFonts w:hint="eastAsia" w:ascii="楷体" w:hAnsi="楷体" w:eastAsia="楷体" w:cs="楷体"/>
          <w:color w:val="000000"/>
          <w:kern w:val="0"/>
          <w:sz w:val="32"/>
          <w:szCs w:val="32"/>
          <w:u w:val="none"/>
          <w:shd w:val="clear" w:color="auto" w:fill="FFFFFF"/>
          <w:lang w:val="en-US" w:eastAsia="zh-CN" w:bidi="ar"/>
        </w:rPr>
        <w:t>优化土地出让条件。</w:t>
      </w:r>
      <w:r>
        <w:rPr>
          <w:rFonts w:hint="eastAsia" w:ascii="仿宋" w:hAnsi="仿宋" w:eastAsia="仿宋" w:cs="仿宋"/>
          <w:sz w:val="32"/>
          <w:szCs w:val="32"/>
          <w:u w:val="none"/>
          <w:lang w:val="en" w:eastAsia="zh-CN"/>
        </w:rPr>
        <w:t>合理确定新增</w:t>
      </w:r>
      <w:r>
        <w:rPr>
          <w:rFonts w:hint="eastAsia" w:ascii="仿宋" w:hAnsi="仿宋" w:eastAsia="仿宋" w:cs="仿宋"/>
          <w:sz w:val="32"/>
          <w:szCs w:val="32"/>
          <w:u w:val="none"/>
          <w:lang w:val="en-US" w:eastAsia="zh-CN"/>
        </w:rPr>
        <w:t>商</w:t>
      </w:r>
      <w:r>
        <w:rPr>
          <w:rFonts w:hint="eastAsia" w:ascii="仿宋" w:hAnsi="仿宋" w:eastAsia="仿宋" w:cs="仿宋"/>
          <w:sz w:val="32"/>
          <w:szCs w:val="32"/>
          <w:u w:val="none"/>
          <w:lang w:val="en" w:eastAsia="zh-CN"/>
        </w:rPr>
        <w:t>住用地供应量，确保供需平衡。</w:t>
      </w:r>
      <w:r>
        <w:rPr>
          <w:rFonts w:hint="eastAsia" w:ascii="仿宋" w:hAnsi="仿宋" w:eastAsia="仿宋" w:cs="仿宋"/>
          <w:sz w:val="32"/>
          <w:szCs w:val="32"/>
          <w:u w:val="none"/>
          <w:lang w:val="en-US" w:eastAsia="zh-CN"/>
        </w:rPr>
        <w:t>在本措施执行期间发布出让公告的土地，允许分期缴纳土地出让价款，商住类用地土地竞买保证金为土地出让起始价款的30%</w:t>
      </w:r>
      <w:r>
        <w:rPr>
          <w:rFonts w:hint="default" w:ascii="仿宋" w:hAnsi="仿宋" w:eastAsia="仿宋" w:cs="仿宋"/>
          <w:sz w:val="32"/>
          <w:szCs w:val="32"/>
          <w:u w:val="none"/>
          <w:lang w:val="en" w:eastAsia="zh-CN"/>
        </w:rPr>
        <w:t>,</w:t>
      </w:r>
      <w:r>
        <w:rPr>
          <w:rFonts w:hint="eastAsia" w:ascii="仿宋" w:hAnsi="仿宋" w:eastAsia="仿宋" w:cs="仿宋"/>
          <w:sz w:val="32"/>
          <w:szCs w:val="32"/>
          <w:u w:val="none"/>
          <w:lang w:val="en-US" w:eastAsia="zh-CN"/>
        </w:rPr>
        <w:t>合同签订后60日内缴纳土地出让价款50%的首付款，剩余出让价款允许在合同签订后6个月内缴清。房地产企业依据土地出让合同，可容缺办理建设用地规划许可证、建设工程规划许可证、建筑工程施工许可证。非毗邻主干道的住宅用地可以适度兼容部分商业。原商业用地不能适应市场形势及需要的，根据实际情况，可依规按程序调整为商住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七</w:t>
      </w:r>
      <w:r>
        <w:rPr>
          <w:rFonts w:hint="eastAsia" w:ascii="楷体" w:hAnsi="楷体" w:eastAsia="楷体" w:cs="楷体"/>
          <w:sz w:val="32"/>
          <w:szCs w:val="32"/>
          <w:u w:val="none"/>
        </w:rPr>
        <w:t>）推行差别化管理。</w:t>
      </w:r>
      <w:r>
        <w:rPr>
          <w:rFonts w:hint="eastAsia" w:ascii="仿宋" w:hAnsi="仿宋" w:eastAsia="仿宋" w:cs="仿宋"/>
          <w:sz w:val="32"/>
          <w:szCs w:val="32"/>
          <w:u w:val="none"/>
        </w:rPr>
        <w:t>根据房地产企业日常表现、开发经营、诚信履约、违规及投诉等因素，对</w:t>
      </w:r>
      <w:r>
        <w:rPr>
          <w:rFonts w:hint="eastAsia" w:ascii="仿宋" w:hAnsi="仿宋" w:eastAsia="仿宋" w:cs="仿宋"/>
          <w:color w:val="000000" w:themeColor="text1"/>
          <w:sz w:val="32"/>
          <w:szCs w:val="32"/>
          <w:u w:val="none"/>
          <w14:textFill>
            <w14:solidFill>
              <w14:schemeClr w14:val="tx1"/>
            </w14:solidFill>
          </w14:textFill>
        </w:rPr>
        <w:t>无违规、无投诉的优秀房地产企业重点监管资金比例</w:t>
      </w:r>
      <w:r>
        <w:rPr>
          <w:rFonts w:hint="eastAsia" w:ascii="仿宋" w:hAnsi="仿宋" w:eastAsia="仿宋" w:cs="仿宋"/>
          <w:sz w:val="32"/>
          <w:szCs w:val="32"/>
          <w:u w:val="none"/>
          <w:lang w:val="en-US" w:eastAsia="zh-CN"/>
        </w:rPr>
        <w:t>可降低25%；</w:t>
      </w:r>
      <w:r>
        <w:rPr>
          <w:rFonts w:hint="eastAsia" w:ascii="仿宋" w:hAnsi="仿宋" w:eastAsia="仿宋" w:cs="仿宋"/>
          <w:color w:val="000000" w:themeColor="text1"/>
          <w:sz w:val="32"/>
          <w:szCs w:val="32"/>
          <w:u w:val="none"/>
          <w14:textFill>
            <w14:solidFill>
              <w14:schemeClr w14:val="tx1"/>
            </w14:solidFill>
          </w14:textFill>
        </w:rPr>
        <w:t>对企业申请预售许可的项目,低层和多层(即六层及以下)建筑主体</w:t>
      </w:r>
      <w:r>
        <w:rPr>
          <w:rFonts w:hint="eastAsia" w:ascii="仿宋" w:hAnsi="仿宋" w:eastAsia="仿宋" w:cs="仿宋"/>
          <w:sz w:val="32"/>
          <w:szCs w:val="32"/>
          <w:u w:val="none"/>
        </w:rPr>
        <w:t>施工达到地面二层、中高层(即七层以上)建筑主体进度达到地面四层以上的形象进度</w:t>
      </w:r>
      <w:r>
        <w:rPr>
          <w:rFonts w:hint="eastAsia" w:ascii="仿宋" w:hAnsi="仿宋" w:eastAsia="仿宋" w:cs="仿宋"/>
          <w:sz w:val="32"/>
          <w:szCs w:val="32"/>
          <w:u w:val="none"/>
          <w:lang w:eastAsia="zh-CN"/>
        </w:rPr>
        <w:t>可申请预售许可</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u w:val="none"/>
          <w:lang w:eastAsia="zh-CN"/>
        </w:rPr>
      </w:pP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八</w:t>
      </w:r>
      <w:r>
        <w:rPr>
          <w:rFonts w:hint="eastAsia" w:ascii="楷体" w:hAnsi="楷体" w:eastAsia="楷体" w:cs="楷体"/>
          <w:sz w:val="32"/>
          <w:szCs w:val="32"/>
          <w:u w:val="none"/>
        </w:rPr>
        <w:t>）适当延缓缴纳城市基础设施配套费</w:t>
      </w:r>
      <w:r>
        <w:rPr>
          <w:rFonts w:hint="eastAsia" w:ascii="楷体" w:hAnsi="楷体" w:eastAsia="楷体" w:cs="楷体"/>
          <w:sz w:val="32"/>
          <w:szCs w:val="32"/>
          <w:u w:val="none"/>
          <w:lang w:eastAsia="zh-CN"/>
        </w:rPr>
        <w:t>。</w:t>
      </w:r>
      <w:r>
        <w:rPr>
          <w:rFonts w:hint="eastAsia" w:ascii="仿宋" w:hAnsi="仿宋" w:eastAsia="仿宋" w:cs="仿宋"/>
          <w:sz w:val="32"/>
          <w:szCs w:val="32"/>
          <w:u w:val="none"/>
          <w:lang w:eastAsia="zh-CN"/>
        </w:rPr>
        <w:t>建设单位确因资金困难，在申请办理建设工程规划许可证时，</w:t>
      </w:r>
      <w:r>
        <w:rPr>
          <w:rFonts w:hint="eastAsia" w:ascii="仿宋" w:hAnsi="仿宋" w:eastAsia="仿宋" w:cs="仿宋"/>
          <w:sz w:val="32"/>
          <w:szCs w:val="32"/>
          <w:u w:val="none"/>
        </w:rPr>
        <w:t>可申请分批缴纳城市基础设施配套费，</w:t>
      </w:r>
      <w:r>
        <w:rPr>
          <w:rFonts w:hint="eastAsia" w:ascii="仿宋" w:hAnsi="仿宋" w:eastAsia="仿宋" w:cs="仿宋"/>
          <w:sz w:val="32"/>
          <w:szCs w:val="32"/>
          <w:u w:val="none"/>
          <w:lang w:eastAsia="zh-CN"/>
        </w:rPr>
        <w:t>最长延期</w:t>
      </w:r>
      <w:r>
        <w:rPr>
          <w:rFonts w:hint="eastAsia" w:ascii="仿宋" w:hAnsi="仿宋" w:eastAsia="仿宋" w:cs="仿宋"/>
          <w:sz w:val="32"/>
          <w:szCs w:val="32"/>
          <w:u w:val="none"/>
          <w:lang w:val="en-US" w:eastAsia="zh-CN"/>
        </w:rPr>
        <w:t>6个月缴清，可先行办理建设工程规划许可证、建设工程施工许可证。建设单位逾期未足额缴纳的，</w:t>
      </w:r>
      <w:r>
        <w:rPr>
          <w:rFonts w:hint="eastAsia" w:ascii="仿宋" w:hAnsi="仿宋" w:eastAsia="仿宋" w:cs="仿宋"/>
          <w:sz w:val="32"/>
          <w:szCs w:val="32"/>
          <w:u w:val="none"/>
        </w:rPr>
        <w:t>除依法追缴外，</w:t>
      </w:r>
      <w:r>
        <w:rPr>
          <w:rFonts w:hint="eastAsia" w:ascii="仿宋" w:hAnsi="仿宋" w:eastAsia="仿宋" w:cs="仿宋"/>
          <w:sz w:val="32"/>
          <w:szCs w:val="32"/>
          <w:u w:val="none"/>
          <w:lang w:val="en-US" w:eastAsia="zh-CN"/>
        </w:rPr>
        <w:t>相关部门不进行规划核实及工程竣工验收，自然资源、规划等部门报县社会信用体系建设领导小组办公室将其列入不诚信企业，</w:t>
      </w:r>
      <w:r>
        <w:rPr>
          <w:rFonts w:hint="eastAsia" w:ascii="仿宋" w:hAnsi="仿宋" w:eastAsia="仿宋" w:cs="仿宋"/>
          <w:sz w:val="32"/>
          <w:szCs w:val="32"/>
          <w:u w:val="none"/>
        </w:rPr>
        <w:t>对房地产企业予以综合评级降级处理，由相关部门依法实施惩戒。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eastAsia="zh-CN"/>
        </w:rPr>
        <w:t>九</w:t>
      </w:r>
      <w:r>
        <w:rPr>
          <w:rFonts w:hint="eastAsia" w:ascii="楷体" w:hAnsi="楷体" w:eastAsia="楷体" w:cs="楷体"/>
          <w:sz w:val="32"/>
          <w:szCs w:val="32"/>
          <w:u w:val="none"/>
        </w:rPr>
        <w:t>）合理确定公建设施计容面积。</w:t>
      </w:r>
      <w:r>
        <w:rPr>
          <w:rFonts w:hint="eastAsia" w:ascii="仿宋" w:hAnsi="仿宋" w:eastAsia="仿宋" w:cs="仿宋"/>
          <w:sz w:val="32"/>
          <w:szCs w:val="32"/>
          <w:u w:val="none"/>
        </w:rPr>
        <w:t>对新建经营性房地产项目</w:t>
      </w:r>
      <w:r>
        <w:rPr>
          <w:rFonts w:hint="eastAsia" w:ascii="仿宋" w:hAnsi="仿宋" w:eastAsia="仿宋" w:cs="仿宋"/>
          <w:sz w:val="32"/>
          <w:szCs w:val="32"/>
          <w:u w:val="none"/>
          <w:lang w:val="en-US" w:eastAsia="zh-CN"/>
        </w:rPr>
        <w:t>将</w:t>
      </w:r>
      <w:r>
        <w:rPr>
          <w:rFonts w:hint="eastAsia" w:ascii="仿宋" w:hAnsi="仿宋" w:eastAsia="仿宋" w:cs="仿宋"/>
          <w:sz w:val="32"/>
          <w:szCs w:val="32"/>
          <w:u w:val="none"/>
        </w:rPr>
        <w:t>按标准新开工配建的幼儿园、老年日间照料中心、社区公共管理用房等公建设施无偿移交政府相关部门的，可以不计入项目容积率计算范围。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u w:val="none"/>
          <w:lang w:val="en-US" w:eastAsia="zh-CN"/>
        </w:rPr>
      </w:pP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十</w:t>
      </w:r>
      <w:r>
        <w:rPr>
          <w:rFonts w:hint="eastAsia" w:ascii="楷体" w:hAnsi="楷体" w:eastAsia="楷体" w:cs="楷体"/>
          <w:sz w:val="32"/>
          <w:szCs w:val="32"/>
          <w:u w:val="none"/>
        </w:rPr>
        <w:t>）完善公共配套和基础设施。</w:t>
      </w:r>
      <w:r>
        <w:rPr>
          <w:rFonts w:hint="eastAsia" w:ascii="仿宋" w:hAnsi="仿宋" w:eastAsia="仿宋" w:cs="仿宋"/>
          <w:sz w:val="32"/>
          <w:szCs w:val="32"/>
          <w:u w:val="none"/>
        </w:rPr>
        <w:t>对已建成项目</w:t>
      </w:r>
      <w:r>
        <w:rPr>
          <w:rFonts w:hint="eastAsia" w:ascii="仿宋" w:hAnsi="仿宋" w:eastAsia="仿宋" w:cs="仿宋"/>
          <w:sz w:val="32"/>
          <w:szCs w:val="32"/>
          <w:u w:val="none"/>
          <w:lang w:val="en-US" w:eastAsia="zh-CN"/>
        </w:rPr>
        <w:t>的</w:t>
      </w:r>
      <w:r>
        <w:rPr>
          <w:rFonts w:hint="eastAsia" w:ascii="仿宋" w:hAnsi="仿宋" w:eastAsia="仿宋" w:cs="仿宋"/>
          <w:sz w:val="32"/>
          <w:szCs w:val="32"/>
          <w:u w:val="none"/>
        </w:rPr>
        <w:t>路网、管网等配套设施不全的进行优化完善，</w:t>
      </w:r>
      <w:r>
        <w:rPr>
          <w:rFonts w:hint="eastAsia" w:ascii="仿宋" w:hAnsi="仿宋" w:eastAsia="仿宋" w:cs="仿宋"/>
          <w:sz w:val="32"/>
          <w:szCs w:val="32"/>
          <w:u w:val="none"/>
          <w:lang w:val="en-US" w:eastAsia="zh-CN"/>
        </w:rPr>
        <w:t>逐步</w:t>
      </w:r>
      <w:r>
        <w:rPr>
          <w:rFonts w:hint="eastAsia" w:ascii="仿宋" w:hAnsi="仿宋" w:eastAsia="仿宋" w:cs="仿宋"/>
          <w:sz w:val="32"/>
          <w:szCs w:val="32"/>
          <w:u w:val="none"/>
        </w:rPr>
        <w:t>补齐公共配套和基础设施短板；对未开工项目，做到公共配套和基础设施同步施工同步交付。</w:t>
      </w:r>
      <w:r>
        <w:rPr>
          <w:rFonts w:hint="eastAsia" w:ascii="仿宋" w:hAnsi="仿宋" w:eastAsia="仿宋" w:cs="仿宋"/>
          <w:sz w:val="32"/>
          <w:szCs w:val="32"/>
          <w:u w:val="none"/>
          <w:lang w:val="en-US" w:eastAsia="zh-CN"/>
        </w:rPr>
        <w:t>加强</w:t>
      </w:r>
      <w:r>
        <w:rPr>
          <w:rFonts w:hint="eastAsia" w:ascii="仿宋" w:hAnsi="仿宋" w:eastAsia="仿宋" w:cs="仿宋"/>
          <w:sz w:val="32"/>
          <w:szCs w:val="32"/>
          <w:u w:val="none"/>
        </w:rPr>
        <w:t>教育、医疗等</w:t>
      </w:r>
      <w:r>
        <w:rPr>
          <w:rFonts w:hint="eastAsia" w:ascii="仿宋" w:hAnsi="仿宋" w:eastAsia="仿宋" w:cs="仿宋"/>
          <w:sz w:val="32"/>
          <w:szCs w:val="32"/>
          <w:u w:val="none"/>
          <w:lang w:val="en-US" w:eastAsia="zh-CN"/>
        </w:rPr>
        <w:t>资源的合理配置。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（十</w:t>
      </w:r>
      <w:r>
        <w:rPr>
          <w:rFonts w:hint="eastAsia" w:ascii="楷体" w:hAnsi="楷体" w:eastAsia="楷体" w:cs="楷体"/>
          <w:sz w:val="32"/>
          <w:szCs w:val="32"/>
          <w:u w:val="none"/>
          <w:lang w:eastAsia="zh-CN"/>
        </w:rPr>
        <w:t>一</w:t>
      </w:r>
      <w:r>
        <w:rPr>
          <w:rFonts w:hint="eastAsia" w:ascii="楷体" w:hAnsi="楷体" w:eastAsia="楷体" w:cs="楷体"/>
          <w:sz w:val="32"/>
          <w:szCs w:val="32"/>
          <w:u w:val="none"/>
        </w:rPr>
        <w:t>）推进问题楼盘处置化解。</w:t>
      </w:r>
      <w:r>
        <w:rPr>
          <w:rFonts w:hint="eastAsia" w:ascii="仿宋" w:hAnsi="仿宋" w:eastAsia="仿宋" w:cs="仿宋"/>
          <w:sz w:val="32"/>
          <w:szCs w:val="32"/>
          <w:u w:val="none"/>
        </w:rPr>
        <w:t>抓住省市解决问题楼盘有利政策的窗口期，利用好现有政策，加快进度，全力推动问题楼盘处置化解。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lang w:eastAsia="zh-CN"/>
        </w:rPr>
      </w:pPr>
      <w:r>
        <w:rPr>
          <w:rFonts w:hint="eastAsia" w:ascii="楷体" w:hAnsi="楷体" w:eastAsia="楷体" w:cs="楷体"/>
          <w:sz w:val="32"/>
          <w:szCs w:val="32"/>
          <w:u w:val="none"/>
          <w:lang w:eastAsia="zh-CN"/>
        </w:rPr>
        <w:t>（十二）活跃二手房市场交易。</w:t>
      </w:r>
      <w:r>
        <w:rPr>
          <w:rFonts w:hint="eastAsia" w:ascii="仿宋" w:hAnsi="仿宋" w:eastAsia="仿宋" w:cs="仿宋"/>
          <w:sz w:val="32"/>
          <w:szCs w:val="32"/>
          <w:u w:val="none"/>
          <w:lang w:eastAsia="zh-CN"/>
        </w:rPr>
        <w:t>降低二手房交易成本，简化交易程序，进一步盘活二手房市场交易，提高办事效率。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三、加大资金支持力度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lang w:eastAsia="zh-CN"/>
        </w:rPr>
      </w:pPr>
      <w:r>
        <w:rPr>
          <w:rFonts w:hint="eastAsia" w:ascii="楷体" w:hAnsi="楷体" w:eastAsia="楷体" w:cs="楷体"/>
          <w:sz w:val="32"/>
          <w:szCs w:val="32"/>
          <w:u w:val="none"/>
        </w:rPr>
        <w:t>（十</w:t>
      </w:r>
      <w:r>
        <w:rPr>
          <w:rFonts w:hint="eastAsia" w:ascii="楷体" w:hAnsi="楷体" w:eastAsia="楷体" w:cs="楷体"/>
          <w:sz w:val="32"/>
          <w:szCs w:val="32"/>
          <w:u w:val="none"/>
          <w:lang w:val="en-US" w:eastAsia="zh-CN"/>
        </w:rPr>
        <w:t>三</w:t>
      </w:r>
      <w:r>
        <w:rPr>
          <w:rFonts w:hint="eastAsia" w:ascii="楷体" w:hAnsi="楷体" w:eastAsia="楷体" w:cs="楷体"/>
          <w:sz w:val="32"/>
          <w:szCs w:val="32"/>
          <w:u w:val="none"/>
        </w:rPr>
        <w:t>）保障人才安居。</w:t>
      </w:r>
      <w:r>
        <w:rPr>
          <w:rFonts w:hint="eastAsia" w:ascii="仿宋" w:hAnsi="仿宋" w:eastAsia="仿宋" w:cs="仿宋"/>
          <w:sz w:val="32"/>
          <w:szCs w:val="32"/>
          <w:u w:val="none"/>
        </w:rPr>
        <w:t>对</w:t>
      </w:r>
      <w:r>
        <w:rPr>
          <w:rFonts w:hint="eastAsia" w:ascii="仿宋" w:hAnsi="仿宋" w:eastAsia="仿宋" w:cs="仿宋"/>
          <w:sz w:val="32"/>
          <w:szCs w:val="32"/>
          <w:u w:val="none"/>
          <w:lang w:eastAsia="zh-CN"/>
        </w:rPr>
        <w:t>博士研究生、</w:t>
      </w:r>
      <w:r>
        <w:rPr>
          <w:rFonts w:hint="eastAsia" w:ascii="仿宋" w:hAnsi="仿宋" w:eastAsia="仿宋" w:cs="仿宋"/>
          <w:sz w:val="32"/>
          <w:szCs w:val="32"/>
          <w:u w:val="none"/>
        </w:rPr>
        <w:t>硕士研究生、</w:t>
      </w:r>
      <w:r>
        <w:rPr>
          <w:rFonts w:hint="eastAsia" w:ascii="仿宋" w:hAnsi="仿宋" w:eastAsia="仿宋" w:cs="仿宋"/>
          <w:b w:val="0"/>
          <w:bCs w:val="0"/>
          <w:sz w:val="32"/>
          <w:szCs w:val="32"/>
          <w:u w:val="none"/>
        </w:rPr>
        <w:t>本科</w:t>
      </w:r>
      <w:r>
        <w:rPr>
          <w:rFonts w:hint="eastAsia" w:ascii="仿宋" w:hAnsi="仿宋" w:eastAsia="仿宋" w:cs="仿宋"/>
          <w:b w:val="0"/>
          <w:bCs w:val="0"/>
          <w:sz w:val="32"/>
          <w:szCs w:val="32"/>
          <w:u w:val="none"/>
          <w:lang w:eastAsia="zh-CN"/>
        </w:rPr>
        <w:t>和大专</w:t>
      </w:r>
      <w:r>
        <w:rPr>
          <w:rFonts w:hint="eastAsia" w:ascii="仿宋" w:hAnsi="仿宋" w:eastAsia="仿宋" w:cs="仿宋"/>
          <w:b w:val="0"/>
          <w:bCs w:val="0"/>
          <w:sz w:val="32"/>
          <w:szCs w:val="32"/>
          <w:u w:val="none"/>
        </w:rPr>
        <w:t>毕业生</w:t>
      </w:r>
      <w:r>
        <w:rPr>
          <w:rFonts w:hint="eastAsia" w:ascii="仿宋" w:hAnsi="仿宋" w:eastAsia="仿宋" w:cs="仿宋"/>
          <w:sz w:val="32"/>
          <w:szCs w:val="32"/>
          <w:u w:val="none"/>
        </w:rPr>
        <w:t>来</w:t>
      </w:r>
      <w:r>
        <w:rPr>
          <w:rFonts w:hint="eastAsia" w:ascii="仿宋" w:hAnsi="仿宋" w:eastAsia="仿宋" w:cs="仿宋"/>
          <w:sz w:val="32"/>
          <w:szCs w:val="32"/>
          <w:u w:val="none"/>
          <w:lang w:val="en-US" w:eastAsia="zh-CN"/>
        </w:rPr>
        <w:t>我</w:t>
      </w:r>
      <w:r>
        <w:rPr>
          <w:rFonts w:hint="eastAsia" w:ascii="仿宋" w:hAnsi="仿宋" w:eastAsia="仿宋" w:cs="仿宋"/>
          <w:sz w:val="32"/>
          <w:szCs w:val="32"/>
          <w:u w:val="none"/>
          <w:lang w:eastAsia="zh-CN"/>
        </w:rPr>
        <w:t>县</w:t>
      </w:r>
      <w:r>
        <w:rPr>
          <w:rFonts w:hint="eastAsia" w:ascii="仿宋" w:hAnsi="仿宋" w:eastAsia="仿宋" w:cs="仿宋"/>
          <w:sz w:val="32"/>
          <w:szCs w:val="32"/>
          <w:u w:val="none"/>
        </w:rPr>
        <w:t>稳定就业</w:t>
      </w:r>
      <w:r>
        <w:rPr>
          <w:rFonts w:hint="eastAsia" w:ascii="仿宋" w:hAnsi="仿宋" w:eastAsia="仿宋" w:cs="仿宋"/>
          <w:sz w:val="32"/>
          <w:szCs w:val="32"/>
          <w:u w:val="none"/>
          <w:lang w:eastAsia="zh-CN"/>
        </w:rPr>
        <w:t>并与</w:t>
      </w:r>
      <w:r>
        <w:rPr>
          <w:rFonts w:hint="eastAsia" w:ascii="仿宋" w:hAnsi="仿宋" w:eastAsia="仿宋" w:cs="仿宋"/>
          <w:sz w:val="32"/>
          <w:szCs w:val="32"/>
          <w:u w:val="none"/>
        </w:rPr>
        <w:t>用人单位签订聘用合同或自主创业并缴纳3个月及以上社保的</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除享受相应人才优惠政策外，在我</w:t>
      </w:r>
      <w:r>
        <w:rPr>
          <w:rFonts w:hint="eastAsia" w:ascii="仿宋" w:hAnsi="仿宋" w:eastAsia="仿宋" w:cs="仿宋"/>
          <w:sz w:val="32"/>
          <w:szCs w:val="32"/>
          <w:u w:val="none"/>
          <w:lang w:eastAsia="zh-CN"/>
        </w:rPr>
        <w:t>县</w:t>
      </w:r>
      <w:r>
        <w:rPr>
          <w:rFonts w:hint="eastAsia" w:ascii="仿宋" w:hAnsi="仿宋" w:eastAsia="仿宋" w:cs="仿宋"/>
          <w:sz w:val="32"/>
          <w:szCs w:val="32"/>
          <w:u w:val="none"/>
        </w:rPr>
        <w:t>购</w:t>
      </w:r>
      <w:r>
        <w:rPr>
          <w:rFonts w:hint="eastAsia" w:ascii="仿宋" w:hAnsi="仿宋" w:eastAsia="仿宋" w:cs="仿宋"/>
          <w:sz w:val="32"/>
          <w:szCs w:val="32"/>
          <w:u w:val="none"/>
          <w:lang w:eastAsia="zh-CN"/>
        </w:rPr>
        <w:t>买首套商品</w:t>
      </w:r>
      <w:r>
        <w:rPr>
          <w:rFonts w:hint="eastAsia" w:ascii="仿宋" w:hAnsi="仿宋" w:eastAsia="仿宋" w:cs="仿宋"/>
          <w:sz w:val="32"/>
          <w:szCs w:val="32"/>
          <w:u w:val="none"/>
        </w:rPr>
        <w:t>房时享受购房补贴，购房补贴以家庭为单位，货币形式一次性发放</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发放标准</w:t>
      </w:r>
      <w:r>
        <w:rPr>
          <w:rFonts w:hint="eastAsia" w:ascii="仿宋" w:hAnsi="仿宋" w:eastAsia="仿宋" w:cs="仿宋"/>
          <w:sz w:val="32"/>
          <w:szCs w:val="32"/>
          <w:u w:val="none"/>
          <w:lang w:val="en-US" w:eastAsia="zh-CN"/>
        </w:rPr>
        <w:t>为博士生6万元、</w:t>
      </w:r>
      <w:r>
        <w:rPr>
          <w:rFonts w:hint="eastAsia" w:ascii="仿宋" w:hAnsi="仿宋" w:eastAsia="仿宋" w:cs="仿宋"/>
          <w:sz w:val="32"/>
          <w:szCs w:val="32"/>
          <w:u w:val="none"/>
        </w:rPr>
        <w:t>硕士生</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万元、</w:t>
      </w:r>
      <w:r>
        <w:rPr>
          <w:rFonts w:hint="eastAsia" w:ascii="仿宋" w:hAnsi="仿宋" w:eastAsia="仿宋" w:cs="仿宋"/>
          <w:b w:val="0"/>
          <w:bCs w:val="0"/>
          <w:sz w:val="32"/>
          <w:szCs w:val="32"/>
          <w:u w:val="none"/>
        </w:rPr>
        <w:t>本</w:t>
      </w:r>
      <w:r>
        <w:rPr>
          <w:rFonts w:hint="eastAsia" w:ascii="仿宋" w:hAnsi="仿宋" w:eastAsia="仿宋" w:cs="仿宋"/>
          <w:b w:val="0"/>
          <w:bCs w:val="0"/>
          <w:sz w:val="32"/>
          <w:szCs w:val="32"/>
          <w:u w:val="none"/>
          <w:lang w:eastAsia="zh-CN"/>
        </w:rPr>
        <w:t>科生</w:t>
      </w:r>
      <w:r>
        <w:rPr>
          <w:rFonts w:hint="eastAsia" w:ascii="仿宋" w:hAnsi="仿宋" w:eastAsia="仿宋" w:cs="仿宋"/>
          <w:b w:val="0"/>
          <w:bCs w:val="0"/>
          <w:sz w:val="32"/>
          <w:szCs w:val="32"/>
          <w:u w:val="none"/>
          <w:lang w:val="en-US" w:eastAsia="zh-CN"/>
        </w:rPr>
        <w:t>2.5万元、</w:t>
      </w:r>
      <w:r>
        <w:rPr>
          <w:rFonts w:hint="eastAsia" w:ascii="仿宋" w:hAnsi="仿宋" w:eastAsia="仿宋" w:cs="仿宋"/>
          <w:b w:val="0"/>
          <w:bCs w:val="0"/>
          <w:sz w:val="32"/>
          <w:szCs w:val="32"/>
          <w:u w:val="none"/>
          <w:lang w:eastAsia="zh-CN"/>
        </w:rPr>
        <w:t>专科毕业生</w:t>
      </w:r>
      <w:r>
        <w:rPr>
          <w:rFonts w:hint="eastAsia" w:ascii="仿宋" w:hAnsi="仿宋" w:eastAsia="仿宋" w:cs="仿宋"/>
          <w:sz w:val="32"/>
          <w:szCs w:val="32"/>
          <w:u w:val="none"/>
          <w:lang w:val="en-US" w:eastAsia="zh-CN"/>
        </w:rPr>
        <w:t>2万</w:t>
      </w:r>
      <w:r>
        <w:rPr>
          <w:rFonts w:hint="eastAsia" w:ascii="仿宋" w:hAnsi="仿宋" w:eastAsia="仿宋" w:cs="仿宋"/>
          <w:sz w:val="32"/>
          <w:szCs w:val="32"/>
          <w:u w:val="none"/>
        </w:rPr>
        <w:t>元</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购房补贴优惠政策与支持刚性住房需求优惠政策</w:t>
      </w:r>
      <w:r>
        <w:rPr>
          <w:rFonts w:hint="eastAsia" w:ascii="仿宋" w:hAnsi="仿宋" w:eastAsia="仿宋" w:cs="仿宋"/>
          <w:sz w:val="32"/>
          <w:szCs w:val="32"/>
          <w:u w:val="none"/>
          <w:lang w:val="en-US" w:eastAsia="zh-CN"/>
        </w:rPr>
        <w:t>不能</w:t>
      </w:r>
      <w:r>
        <w:rPr>
          <w:rFonts w:hint="eastAsia" w:ascii="仿宋" w:hAnsi="仿宋" w:eastAsia="仿宋" w:cs="仿宋"/>
          <w:sz w:val="32"/>
          <w:szCs w:val="32"/>
          <w:u w:val="none"/>
        </w:rPr>
        <w:t>同时享受。</w:t>
      </w:r>
      <w:r>
        <w:rPr>
          <w:rFonts w:hint="eastAsia" w:ascii="仿宋" w:hAnsi="仿宋" w:eastAsia="仿宋" w:cs="仿宋"/>
          <w:i w:val="0"/>
          <w:iCs w:val="0"/>
          <w:caps w:val="0"/>
          <w:color w:val="000000"/>
          <w:spacing w:val="0"/>
          <w:sz w:val="32"/>
          <w:szCs w:val="32"/>
          <w:u w:val="none"/>
        </w:rPr>
        <w:t>享受保障人才安居购房补贴政策的房产，五年内不得出售或转让</w:t>
      </w:r>
      <w:r>
        <w:rPr>
          <w:rFonts w:hint="eastAsia" w:ascii="仿宋" w:hAnsi="仿宋" w:eastAsia="仿宋" w:cs="仿宋"/>
          <w:i w:val="0"/>
          <w:iCs w:val="0"/>
          <w:caps w:val="0"/>
          <w:color w:val="000000"/>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u w:val="none"/>
        </w:rPr>
      </w:pPr>
      <w:r>
        <w:rPr>
          <w:rFonts w:hint="eastAsia" w:ascii="楷体" w:hAnsi="楷体" w:eastAsia="楷体" w:cs="楷体"/>
          <w:b w:val="0"/>
          <w:bCs w:val="0"/>
          <w:sz w:val="32"/>
          <w:szCs w:val="32"/>
          <w:u w:val="none"/>
          <w:lang w:val="en-US" w:eastAsia="zh-CN"/>
        </w:rPr>
        <w:t>（十四）加大住房公积金支持力度。</w:t>
      </w:r>
      <w:r>
        <w:rPr>
          <w:rFonts w:hint="eastAsia" w:ascii="仿宋" w:hAnsi="仿宋" w:eastAsia="仿宋" w:cs="仿宋"/>
          <w:color w:val="000000"/>
          <w:sz w:val="32"/>
          <w:szCs w:val="32"/>
          <w:u w:val="none"/>
        </w:rPr>
        <w:t>申请人一人满足住房公积金贷款条件的，最高贷款额度从40万元调整到50万元；夫妻双方满足住房公积金贷款条件的，最高贷款额度从60万元调整到70万元</w:t>
      </w:r>
      <w:r>
        <w:rPr>
          <w:rFonts w:hint="eastAsia" w:ascii="仿宋" w:hAnsi="仿宋" w:eastAsia="仿宋" w:cs="仿宋"/>
          <w:color w:val="000000"/>
          <w:sz w:val="32"/>
          <w:szCs w:val="32"/>
          <w:u w:val="none"/>
          <w:lang w:eastAsia="zh-CN"/>
        </w:rPr>
        <w:t>；</w:t>
      </w:r>
      <w:r>
        <w:rPr>
          <w:rFonts w:hint="eastAsia" w:ascii="仿宋" w:hAnsi="仿宋" w:eastAsia="仿宋" w:cs="仿宋"/>
          <w:sz w:val="32"/>
          <w:szCs w:val="32"/>
          <w:u w:val="none"/>
        </w:rPr>
        <w:t>正常缴存住房公积金的职工，购房、建造、翻建、大修自住住房后，申请提取住房公积金账户内存储余额的时限由</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年延长至</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年，申请住房公积金贷款的期限由</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年延长至</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年</w:t>
      </w:r>
      <w:r>
        <w:rPr>
          <w:rFonts w:hint="eastAsia" w:ascii="仿宋" w:hAnsi="仿宋" w:eastAsia="仿宋" w:cs="仿宋"/>
          <w:sz w:val="32"/>
          <w:szCs w:val="32"/>
          <w:u w:val="none"/>
          <w:lang w:eastAsia="zh-CN"/>
        </w:rPr>
        <w:t>；</w:t>
      </w:r>
      <w:r>
        <w:rPr>
          <w:rFonts w:hint="eastAsia" w:ascii="仿宋" w:hAnsi="仿宋" w:eastAsia="仿宋" w:cs="仿宋"/>
          <w:color w:val="000000"/>
          <w:kern w:val="0"/>
          <w:sz w:val="32"/>
          <w:szCs w:val="32"/>
          <w:u w:val="none"/>
        </w:rPr>
        <w:t>扩大商业银行住房贷款转为住房公积金贷款（“商转公”贷款）受益范围，不再限制为“在本</w:t>
      </w:r>
      <w:r>
        <w:rPr>
          <w:rFonts w:hint="eastAsia" w:ascii="仿宋" w:hAnsi="仿宋" w:eastAsia="仿宋" w:cs="仿宋"/>
          <w:color w:val="000000"/>
          <w:kern w:val="0"/>
          <w:sz w:val="32"/>
          <w:szCs w:val="32"/>
          <w:u w:val="none"/>
          <w:lang w:eastAsia="zh-CN"/>
        </w:rPr>
        <w:t>市</w:t>
      </w:r>
      <w:r>
        <w:rPr>
          <w:rFonts w:hint="eastAsia" w:ascii="仿宋" w:hAnsi="仿宋" w:eastAsia="仿宋" w:cs="仿宋"/>
          <w:color w:val="000000"/>
          <w:kern w:val="0"/>
          <w:sz w:val="32"/>
          <w:szCs w:val="32"/>
          <w:u w:val="none"/>
        </w:rPr>
        <w:t>住房公积金管理中心正常缴存住房公积金的职工”。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b w:val="0"/>
          <w:bCs w:val="0"/>
          <w:sz w:val="32"/>
          <w:szCs w:val="32"/>
          <w:u w:val="none"/>
        </w:rPr>
        <w:t>（十</w:t>
      </w:r>
      <w:r>
        <w:rPr>
          <w:rFonts w:hint="eastAsia" w:ascii="楷体" w:hAnsi="楷体" w:eastAsia="楷体" w:cs="楷体"/>
          <w:b w:val="0"/>
          <w:bCs w:val="0"/>
          <w:sz w:val="32"/>
          <w:szCs w:val="32"/>
          <w:u w:val="none"/>
          <w:lang w:eastAsia="zh-CN"/>
        </w:rPr>
        <w:t>五</w:t>
      </w:r>
      <w:r>
        <w:rPr>
          <w:rFonts w:hint="eastAsia" w:ascii="楷体" w:hAnsi="楷体" w:eastAsia="楷体" w:cs="楷体"/>
          <w:b w:val="0"/>
          <w:bCs w:val="0"/>
          <w:sz w:val="32"/>
          <w:szCs w:val="32"/>
          <w:u w:val="none"/>
        </w:rPr>
        <w:t>）执行差别化住房信贷政策。</w:t>
      </w:r>
      <w:r>
        <w:rPr>
          <w:rFonts w:hint="eastAsia" w:ascii="仿宋" w:hAnsi="仿宋" w:eastAsia="仿宋" w:cs="仿宋"/>
          <w:sz w:val="32"/>
          <w:szCs w:val="32"/>
          <w:u w:val="none"/>
        </w:rPr>
        <w:t>引导银行业金融机构合理确定商业性个人住房贷款最低首付比例，对无购房贷款家庭购买普通住房的，贷款最低首付比例为20%。对新发放的首套住房商业性个人住房贷款，</w:t>
      </w:r>
      <w:r>
        <w:rPr>
          <w:rFonts w:hint="eastAsia" w:ascii="仿宋" w:hAnsi="仿宋" w:eastAsia="仿宋" w:cs="仿宋"/>
          <w:sz w:val="32"/>
          <w:szCs w:val="32"/>
          <w:u w:val="none"/>
          <w:lang w:val="en-US" w:eastAsia="zh-CN"/>
        </w:rPr>
        <w:t>落实</w:t>
      </w:r>
      <w:r>
        <w:rPr>
          <w:rFonts w:hint="eastAsia" w:ascii="仿宋" w:hAnsi="仿宋" w:eastAsia="仿宋" w:cs="仿宋"/>
          <w:sz w:val="32"/>
          <w:szCs w:val="32"/>
          <w:u w:val="none"/>
        </w:rPr>
        <w:t>利率下限</w:t>
      </w:r>
      <w:r>
        <w:rPr>
          <w:rFonts w:hint="eastAsia" w:ascii="仿宋" w:hAnsi="仿宋" w:eastAsia="仿宋" w:cs="仿宋"/>
          <w:sz w:val="32"/>
          <w:szCs w:val="32"/>
          <w:u w:val="none"/>
          <w:lang w:val="en-US" w:eastAsia="zh-CN"/>
        </w:rPr>
        <w:t>为</w:t>
      </w:r>
      <w:r>
        <w:rPr>
          <w:rFonts w:hint="eastAsia" w:ascii="仿宋" w:hAnsi="仿宋" w:eastAsia="仿宋" w:cs="仿宋"/>
          <w:sz w:val="32"/>
          <w:szCs w:val="32"/>
          <w:u w:val="none"/>
        </w:rPr>
        <w:t>相应期限贷款市场报价利率减20个基点</w:t>
      </w:r>
      <w:r>
        <w:rPr>
          <w:rFonts w:hint="eastAsia" w:ascii="仿宋" w:hAnsi="仿宋" w:eastAsia="仿宋" w:cs="仿宋"/>
          <w:sz w:val="32"/>
          <w:szCs w:val="32"/>
          <w:u w:val="none"/>
          <w:lang w:val="en-US" w:eastAsia="zh-CN"/>
        </w:rPr>
        <w:t>的要求</w:t>
      </w:r>
      <w:r>
        <w:rPr>
          <w:rFonts w:hint="eastAsia" w:ascii="仿宋" w:hAnsi="仿宋" w:eastAsia="仿宋" w:cs="仿宋"/>
          <w:sz w:val="32"/>
          <w:szCs w:val="32"/>
          <w:u w:val="none"/>
        </w:rPr>
        <w:t>，促进贷款利率适当下行，加大个人住房贷款投放力度。鼓励开发针对“新市民”的特色住房金融产品，灵活设置准入门槛、信用评级、担保方式、贷款额度、期限利率、还款方式等条件，对符合购房政策要求且具备购房能力、收入相对稳定的新市民，合理满足其购房信贷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（十</w:t>
      </w:r>
      <w:r>
        <w:rPr>
          <w:rFonts w:hint="eastAsia" w:ascii="楷体" w:hAnsi="楷体" w:eastAsia="楷体" w:cs="楷体"/>
          <w:sz w:val="32"/>
          <w:szCs w:val="32"/>
          <w:u w:val="none"/>
          <w:lang w:val="en-US" w:eastAsia="zh-CN"/>
        </w:rPr>
        <w:t>六</w:t>
      </w:r>
      <w:r>
        <w:rPr>
          <w:rFonts w:hint="eastAsia" w:ascii="楷体" w:hAnsi="楷体" w:eastAsia="楷体" w:cs="楷体"/>
          <w:sz w:val="32"/>
          <w:szCs w:val="32"/>
          <w:u w:val="none"/>
        </w:rPr>
        <w:t>）加强住房融资信贷</w:t>
      </w:r>
      <w:r>
        <w:rPr>
          <w:rFonts w:hint="eastAsia" w:ascii="楷体" w:hAnsi="楷体" w:eastAsia="楷体" w:cs="楷体"/>
          <w:sz w:val="32"/>
          <w:szCs w:val="32"/>
          <w:u w:val="none"/>
          <w:lang w:eastAsia="zh-CN"/>
        </w:rPr>
        <w:t>。</w:t>
      </w:r>
      <w:r>
        <w:rPr>
          <w:rFonts w:hint="eastAsia" w:ascii="仿宋" w:hAnsi="仿宋" w:eastAsia="仿宋" w:cs="仿宋"/>
          <w:sz w:val="32"/>
          <w:szCs w:val="32"/>
          <w:u w:val="none"/>
        </w:rPr>
        <w:t>引导银行业金融机构积极向总行及省行争取房地产贷款额度，加大对</w:t>
      </w:r>
      <w:r>
        <w:rPr>
          <w:rFonts w:hint="eastAsia" w:ascii="仿宋" w:hAnsi="仿宋" w:eastAsia="仿宋" w:cs="仿宋"/>
          <w:sz w:val="32"/>
          <w:szCs w:val="32"/>
          <w:u w:val="none"/>
          <w:lang w:val="en-US" w:eastAsia="zh-CN"/>
        </w:rPr>
        <w:t>我县</w:t>
      </w:r>
      <w:r>
        <w:rPr>
          <w:rFonts w:hint="eastAsia" w:ascii="仿宋" w:hAnsi="仿宋" w:eastAsia="仿宋" w:cs="仿宋"/>
          <w:sz w:val="32"/>
          <w:szCs w:val="32"/>
          <w:u w:val="none"/>
        </w:rPr>
        <w:t>信贷投放，更好满足房地产领域资金需求。对经营稳健、杠杆率合理、销售前景良好、资金封闭运行的房地产企业建设的工程，按照市场化、法治化原则发放开发贷款，杜绝盲目抽贷、压贷、断贷。按照依法合规、风险可控、商业可持续原则，支持房地产企业并购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（十</w:t>
      </w:r>
      <w:r>
        <w:rPr>
          <w:rFonts w:hint="eastAsia" w:ascii="楷体" w:hAnsi="楷体" w:eastAsia="楷体" w:cs="楷体"/>
          <w:sz w:val="32"/>
          <w:szCs w:val="32"/>
          <w:u w:val="none"/>
          <w:lang w:val="en-US" w:eastAsia="zh-CN"/>
        </w:rPr>
        <w:t>七</w:t>
      </w: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提供</w:t>
      </w:r>
      <w:r>
        <w:rPr>
          <w:rFonts w:hint="eastAsia" w:ascii="楷体" w:hAnsi="楷体" w:eastAsia="楷体" w:cs="楷体"/>
          <w:sz w:val="32"/>
          <w:szCs w:val="32"/>
          <w:u w:val="none"/>
        </w:rPr>
        <w:t>税收政策支持。</w:t>
      </w:r>
      <w:r>
        <w:rPr>
          <w:rFonts w:hint="eastAsia" w:ascii="仿宋" w:hAnsi="仿宋" w:eastAsia="仿宋" w:cs="仿宋"/>
          <w:sz w:val="32"/>
          <w:szCs w:val="32"/>
          <w:u w:val="none"/>
        </w:rPr>
        <w:t>加大留抵退税政策支持力度，针对房地产企业中的小微企业依申请一次性退还存量留抵税额，并按月退还增量留抵税额；对其他房地产企业，符合留抵退税条件的依申请按60%的比例，退还新增留抵税额。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四、营造良好市场环境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eastAsia="zh-CN"/>
        </w:rPr>
        <w:t>十八</w:t>
      </w: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提高政务服务效率</w:t>
      </w:r>
      <w:r>
        <w:rPr>
          <w:rFonts w:hint="eastAsia" w:ascii="楷体" w:hAnsi="楷体" w:eastAsia="楷体" w:cs="楷体"/>
          <w:sz w:val="32"/>
          <w:szCs w:val="32"/>
          <w:u w:val="none"/>
        </w:rPr>
        <w:t>。</w:t>
      </w:r>
      <w:r>
        <w:rPr>
          <w:rFonts w:hint="eastAsia" w:ascii="仿宋" w:hAnsi="仿宋" w:eastAsia="仿宋" w:cs="仿宋"/>
          <w:sz w:val="32"/>
          <w:szCs w:val="32"/>
          <w:u w:val="none"/>
          <w:lang w:val="en-US" w:eastAsia="zh-CN"/>
        </w:rPr>
        <w:t>从申请报送规划设计方案到提交县规委会，不超过5个工作日；</w:t>
      </w:r>
      <w:r>
        <w:rPr>
          <w:rFonts w:hint="eastAsia" w:ascii="仿宋" w:hAnsi="仿宋" w:eastAsia="仿宋" w:cs="仿宋"/>
          <w:sz w:val="32"/>
          <w:szCs w:val="32"/>
          <w:u w:val="none"/>
        </w:rPr>
        <w:t>社会投资类工程建设项目全流程审批时间控制在43天以内</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运用信息手段提高政务服务水平，推行网签即备案、交房即办证模式。取消商品房价格备案，继续做好监督检查。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w:t>
      </w:r>
      <w:r>
        <w:rPr>
          <w:rFonts w:hint="eastAsia" w:ascii="楷体" w:hAnsi="楷体" w:eastAsia="楷体" w:cs="楷体"/>
          <w:sz w:val="32"/>
          <w:szCs w:val="32"/>
          <w:u w:val="none"/>
          <w:lang w:val="en-US" w:eastAsia="zh-CN"/>
        </w:rPr>
        <w:t>十九</w:t>
      </w:r>
      <w:r>
        <w:rPr>
          <w:rFonts w:hint="eastAsia" w:ascii="楷体" w:hAnsi="楷体" w:eastAsia="楷体" w:cs="楷体"/>
          <w:sz w:val="32"/>
          <w:szCs w:val="32"/>
          <w:u w:val="none"/>
        </w:rPr>
        <w:t>）增加有效施工天数。</w:t>
      </w:r>
      <w:r>
        <w:rPr>
          <w:rFonts w:hint="eastAsia" w:ascii="仿宋" w:hAnsi="仿宋" w:eastAsia="仿宋" w:cs="仿宋"/>
          <w:sz w:val="32"/>
          <w:szCs w:val="32"/>
          <w:u w:val="none"/>
        </w:rPr>
        <w:t>实施科学精准的疫情</w:t>
      </w:r>
      <w:r>
        <w:rPr>
          <w:rFonts w:hint="eastAsia" w:ascii="仿宋" w:hAnsi="仿宋" w:eastAsia="仿宋" w:cs="仿宋"/>
          <w:sz w:val="32"/>
          <w:szCs w:val="32"/>
          <w:u w:val="none"/>
          <w:lang w:eastAsia="zh-CN"/>
        </w:rPr>
        <w:t>和</w:t>
      </w:r>
      <w:r>
        <w:rPr>
          <w:rFonts w:hint="eastAsia" w:ascii="仿宋" w:hAnsi="仿宋" w:eastAsia="仿宋" w:cs="仿宋"/>
          <w:sz w:val="32"/>
          <w:szCs w:val="32"/>
          <w:u w:val="none"/>
        </w:rPr>
        <w:t>扬尘防控措施，对扬尘防控措施落实情况较好的工程项目，经批准后，可以参照民生保障工程执行，增加有效施工天数。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sz w:val="32"/>
          <w:szCs w:val="32"/>
          <w:u w:val="none"/>
        </w:rPr>
        <w:t>（二十）加强房地产市场监管。</w:t>
      </w:r>
      <w:r>
        <w:rPr>
          <w:rFonts w:hint="eastAsia" w:ascii="仿宋" w:hAnsi="仿宋" w:eastAsia="仿宋" w:cs="仿宋"/>
          <w:sz w:val="32"/>
          <w:szCs w:val="32"/>
          <w:u w:val="none"/>
        </w:rPr>
        <w:t>开展房地产市场秩序整治，重点整治未批先售、虚假宣传、挪用预售资金、变相规避调控政策等违法违规行为，严厉打击违规销售、未明码标价、拒绝使用公积金贷款购房、恶意哄抬房价、虚假承诺等侵害群众利益行为。指导开发企业合理定价，严格执行明码标价、一房一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楷体" w:hAnsi="楷体" w:eastAsia="楷体" w:cs="楷体"/>
          <w:b w:val="0"/>
          <w:bCs w:val="0"/>
          <w:sz w:val="32"/>
          <w:szCs w:val="32"/>
          <w:u w:val="none"/>
          <w:lang w:eastAsia="zh-CN"/>
        </w:rPr>
        <w:t>（二十一）强化政策执行监督。</w:t>
      </w:r>
      <w:r>
        <w:rPr>
          <w:rFonts w:hint="eastAsia" w:ascii="仿宋" w:hAnsi="仿宋" w:eastAsia="仿宋" w:cs="仿宋"/>
          <w:b w:val="0"/>
          <w:bCs w:val="0"/>
          <w:sz w:val="32"/>
          <w:szCs w:val="32"/>
          <w:u w:val="none"/>
          <w:lang w:eastAsia="zh-CN"/>
        </w:rPr>
        <w:t>成立政策执行监督工作专班，由县财政局牵头，人大、政协、纪委、审计、金融、税务、自然资源、规划、教育、住建、环保等部门要加强政策执行监督，保持政策的协调性和精准性。如发现弄虚作假、违背政策及骗取购房补贴的，有关部门要依法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6"/>
        </w:rPr>
      </w:pPr>
      <w:r>
        <w:rPr>
          <w:rFonts w:hint="eastAsia" w:ascii="仿宋" w:hAnsi="仿宋" w:eastAsia="仿宋" w:cs="仿宋"/>
          <w:sz w:val="32"/>
          <w:szCs w:val="32"/>
          <w:u w:val="none"/>
        </w:rPr>
        <w:t>本通知自印发之日起</w:t>
      </w:r>
      <w:r>
        <w:rPr>
          <w:rFonts w:hint="eastAsia" w:ascii="仿宋" w:hAnsi="仿宋" w:eastAsia="仿宋" w:cs="仿宋"/>
          <w:sz w:val="32"/>
          <w:szCs w:val="32"/>
          <w:u w:val="none"/>
          <w:lang w:eastAsia="zh-CN"/>
        </w:rPr>
        <w:t>执</w:t>
      </w:r>
      <w:r>
        <w:rPr>
          <w:rFonts w:hint="eastAsia" w:ascii="仿宋" w:hAnsi="仿宋" w:eastAsia="仿宋" w:cs="仿宋"/>
          <w:sz w:val="32"/>
          <w:szCs w:val="32"/>
          <w:u w:val="none"/>
        </w:rPr>
        <w:t>行，有效期</w:t>
      </w:r>
      <w:r>
        <w:rPr>
          <w:rFonts w:hint="eastAsia" w:ascii="仿宋" w:hAnsi="仿宋" w:eastAsia="仿宋" w:cs="仿宋"/>
          <w:sz w:val="32"/>
          <w:szCs w:val="32"/>
          <w:u w:val="none"/>
          <w:lang w:eastAsia="zh-CN"/>
        </w:rPr>
        <w:t>至</w:t>
      </w:r>
      <w:r>
        <w:rPr>
          <w:rFonts w:hint="eastAsia" w:ascii="仿宋" w:hAnsi="仿宋" w:eastAsia="仿宋" w:cs="仿宋"/>
          <w:sz w:val="32"/>
          <w:szCs w:val="32"/>
          <w:u w:val="none"/>
          <w:lang w:val="en-US" w:eastAsia="zh-CN"/>
        </w:rPr>
        <w:t>2023年6月30日</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执行期间，具体措施解释</w:t>
      </w:r>
      <w:r>
        <w:rPr>
          <w:rFonts w:hint="eastAsia" w:ascii="仿宋" w:hAnsi="仿宋" w:eastAsia="仿宋" w:cs="仿宋"/>
          <w:sz w:val="32"/>
          <w:szCs w:val="32"/>
          <w:u w:val="none"/>
          <w:lang w:eastAsia="zh-CN"/>
        </w:rPr>
        <w:t>由县住房和城乡建设局负责。</w:t>
      </w:r>
    </w:p>
    <w:p/>
    <w:p>
      <w:pPr>
        <w:tabs>
          <w:tab w:val="left" w:pos="372"/>
        </w:tabs>
        <w:rPr>
          <w:rFonts w:hint="eastAsia" w:ascii="楷体" w:hAnsi="楷体" w:eastAsia="楷体" w:cs="楷体"/>
          <w:sz w:val="32"/>
          <w:szCs w:val="32"/>
          <w:lang w:val="en-US" w:eastAsia="zh-CN"/>
        </w:rPr>
      </w:pPr>
    </w:p>
    <w:p>
      <w:pPr>
        <w:tabs>
          <w:tab w:val="left" w:pos="372"/>
        </w:tabs>
        <w:rPr>
          <w:rFonts w:hint="eastAsia" w:ascii="楷体" w:hAnsi="楷体" w:eastAsia="楷体" w:cs="楷体"/>
          <w:sz w:val="32"/>
          <w:szCs w:val="32"/>
          <w:lang w:val="en-US" w:eastAsia="zh-CN"/>
        </w:rPr>
      </w:pPr>
    </w:p>
    <w:p>
      <w:pPr>
        <w:tabs>
          <w:tab w:val="left" w:pos="372"/>
        </w:tabs>
        <w:rPr>
          <w:rFonts w:hint="eastAsia" w:ascii="楷体" w:hAnsi="楷体" w:eastAsia="楷体" w:cs="楷体"/>
          <w:sz w:val="32"/>
          <w:szCs w:val="32"/>
          <w:lang w:val="en-US" w:eastAsia="zh-CN"/>
        </w:rPr>
      </w:pPr>
    </w:p>
    <w:p>
      <w:pPr>
        <w:tabs>
          <w:tab w:val="left" w:pos="372"/>
        </w:tabs>
        <w:rPr>
          <w:rFonts w:hint="eastAsia" w:ascii="楷体" w:hAnsi="楷体" w:eastAsia="楷体" w:cs="楷体"/>
          <w:sz w:val="32"/>
          <w:szCs w:val="32"/>
          <w:lang w:val="en-US" w:eastAsia="zh-CN"/>
        </w:rPr>
      </w:pPr>
    </w:p>
    <w:p>
      <w:pPr>
        <w:tabs>
          <w:tab w:val="left" w:pos="372"/>
        </w:tabs>
        <w:rPr>
          <w:rFonts w:hint="eastAsia" w:ascii="楷体" w:hAnsi="楷体" w:eastAsia="楷体" w:cs="楷体"/>
          <w:sz w:val="32"/>
          <w:szCs w:val="32"/>
          <w:lang w:val="en-US" w:eastAsia="zh-CN"/>
        </w:rPr>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2097" w:right="1474" w:bottom="1984" w:left="1587" w:header="566" w:footer="1417" w:gutter="0"/>
          <w:pgNumType w:fmt="decimal" w:start="1"/>
          <w:cols w:space="720" w:num="1"/>
        </w:sectPr>
      </w:pPr>
    </w:p>
    <w:p>
      <w:pPr>
        <w:pStyle w:val="2"/>
        <w:rPr>
          <w:rFonts w:hint="eastAsia"/>
          <w:lang w:val="en-US" w:eastAsia="zh-CN"/>
        </w:rPr>
      </w:pPr>
    </w:p>
    <w:p>
      <w:pPr>
        <w:tabs>
          <w:tab w:val="left" w:pos="372"/>
        </w:tabs>
        <w:rPr>
          <w:rFonts w:hint="eastAsia" w:ascii="楷体" w:hAnsi="楷体" w:eastAsia="楷体" w:cs="楷体"/>
          <w:sz w:val="32"/>
          <w:szCs w:val="32"/>
          <w:lang w:val="en-US" w:eastAsia="zh-CN"/>
        </w:rPr>
      </w:pPr>
      <w:r>
        <w:rPr>
          <w:rFonts w:ascii="仿宋" w:hAnsi="仿宋" w:eastAsia="仿宋"/>
          <w:sz w:val="32"/>
          <w:szCs w:val="32"/>
        </w:rPr>
        <mc:AlternateContent>
          <mc:Choice Requires="wpg">
            <w:drawing>
              <wp:anchor distT="0" distB="0" distL="114300" distR="114300" simplePos="0" relativeHeight="251664384" behindDoc="0" locked="0" layoutInCell="1" allowOverlap="1">
                <wp:simplePos x="0" y="0"/>
                <wp:positionH relativeFrom="column">
                  <wp:posOffset>2540</wp:posOffset>
                </wp:positionH>
                <wp:positionV relativeFrom="page">
                  <wp:posOffset>8267700</wp:posOffset>
                </wp:positionV>
                <wp:extent cx="5615940" cy="1134745"/>
                <wp:effectExtent l="0" t="0" r="7620" b="23495"/>
                <wp:wrapNone/>
                <wp:docPr id="12" name="组合 4"/>
                <wp:cNvGraphicFramePr/>
                <a:graphic xmlns:a="http://schemas.openxmlformats.org/drawingml/2006/main">
                  <a:graphicData uri="http://schemas.microsoft.com/office/word/2010/wordprocessingGroup">
                    <wpg:wgp>
                      <wpg:cNvGrpSpPr/>
                      <wpg:grpSpPr>
                        <a:xfrm>
                          <a:off x="0" y="0"/>
                          <a:ext cx="5615940" cy="1134745"/>
                          <a:chOff x="0" y="0"/>
                          <a:chExt cx="56159" cy="11352"/>
                        </a:xfrm>
                      </wpg:grpSpPr>
                      <wps:wsp>
                        <wps:cNvPr id="13" name="直接连接符 6"/>
                        <wps:cNvCnPr/>
                        <wps:spPr>
                          <a:xfrm>
                            <a:off x="0" y="11352"/>
                            <a:ext cx="56159" cy="0"/>
                          </a:xfrm>
                          <a:prstGeom prst="line">
                            <a:avLst/>
                          </a:prstGeom>
                          <a:ln w="19050" cap="flat" cmpd="sng">
                            <a:solidFill>
                              <a:srgbClr val="000000"/>
                            </a:solidFill>
                            <a:prstDash val="solid"/>
                            <a:miter/>
                            <a:headEnd type="none" w="med" len="med"/>
                            <a:tailEnd type="none" w="med" len="med"/>
                          </a:ln>
                        </wps:spPr>
                        <wps:bodyPr upright="1"/>
                      </wps:wsp>
                      <wps:wsp>
                        <wps:cNvPr id="4" name="直接连接符 7"/>
                        <wps:cNvCnPr/>
                        <wps:spPr>
                          <a:xfrm>
                            <a:off x="0" y="481"/>
                            <a:ext cx="55975" cy="0"/>
                          </a:xfrm>
                          <a:prstGeom prst="line">
                            <a:avLst/>
                          </a:prstGeom>
                          <a:ln w="19050" cap="flat" cmpd="sng">
                            <a:solidFill>
                              <a:srgbClr val="000000"/>
                            </a:solidFill>
                            <a:prstDash val="solid"/>
                            <a:miter/>
                            <a:headEnd type="none" w="med" len="med"/>
                            <a:tailEnd type="none" w="med" len="med"/>
                          </a:ln>
                        </wps:spPr>
                        <wps:bodyPr upright="1"/>
                      </wps:wsp>
                      <wps:wsp>
                        <wps:cNvPr id="14" name="直接连接符 11"/>
                        <wps:cNvCnPr/>
                        <wps:spPr>
                          <a:xfrm>
                            <a:off x="0" y="7756"/>
                            <a:ext cx="56159" cy="0"/>
                          </a:xfrm>
                          <a:prstGeom prst="line">
                            <a:avLst/>
                          </a:prstGeom>
                          <a:ln w="12700" cap="flat" cmpd="sng">
                            <a:solidFill>
                              <a:srgbClr val="000000"/>
                            </a:solidFill>
                            <a:prstDash val="solid"/>
                            <a:miter/>
                            <a:headEnd type="none" w="med" len="med"/>
                            <a:tailEnd type="none" w="med" len="med"/>
                          </a:ln>
                        </wps:spPr>
                        <wps:bodyPr upright="1"/>
                      </wps:wsp>
                      <wps:wsp>
                        <wps:cNvPr id="15" name="文本框 12"/>
                        <wps:cNvSpPr txBox="1"/>
                        <wps:spPr>
                          <a:xfrm>
                            <a:off x="0" y="0"/>
                            <a:ext cx="55562" cy="7378"/>
                          </a:xfrm>
                          <a:prstGeom prst="rect">
                            <a:avLst/>
                          </a:prstGeom>
                          <a:noFill/>
                          <a:ln w="6350">
                            <a:noFill/>
                          </a:ln>
                        </wps:spPr>
                        <wps:txb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0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wps:txbx>
                        <wps:bodyPr wrap="square" upright="1"/>
                      </wps:wsp>
                      <wps:wsp>
                        <wps:cNvPr id="16" name="文本框 13"/>
                        <wps:cNvSpPr txBox="1"/>
                        <wps:spPr>
                          <a:xfrm>
                            <a:off x="0" y="7247"/>
                            <a:ext cx="55937" cy="3716"/>
                          </a:xfrm>
                          <a:prstGeom prst="rect">
                            <a:avLst/>
                          </a:prstGeom>
                          <a:noFill/>
                          <a:ln w="6350">
                            <a:noFill/>
                          </a:ln>
                        </wps:spPr>
                        <wps:txb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wps:txbx>
                        <wps:bodyPr wrap="square" upright="1"/>
                      </wps:wsp>
                    </wpg:wgp>
                  </a:graphicData>
                </a:graphic>
              </wp:anchor>
            </w:drawing>
          </mc:Choice>
          <mc:Fallback>
            <w:pict>
              <v:group id="组合 4" o:spid="_x0000_s1026" o:spt="203" style="position:absolute;left:0pt;margin-left:0.2pt;margin-top:651pt;height:89.35pt;width:442.2pt;mso-position-vertical-relative:page;z-index:251664384;mso-width-relative:page;mso-height-relative:page;" coordsize="56159,11352" o:gfxdata="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n45+XdkA&#10;AAAKAQAADwAAAAAAAAABACAAAAAiAAAAZHJzL2Rvd25yZXYueG1sUEsBAhQAFAAAAAgAh07iQJX6&#10;S1w7AwAAUgwAAA4AAAAAAAAAAQAgAAAAKAEAAGRycy9lMm9Eb2MueG1sUEsFBgAAAAAGAAYAWQEA&#10;ANUGAAAAAA==&#10;">
                <o:lock v:ext="edit" aspectratio="f"/>
                <v:line id="直接连接符 6" o:spid="_x0000_s1026" o:spt="20" style="position:absolute;left:0;top:11352;height:0;width:56159;" filled="f" stroked="t" coordsize="21600,21600" o:gfxdata="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7wz+8AAAA&#10;2wAAAA8AAAAAAAAAAQAgAAAAIgAAAGRycy9kb3ducmV2LnhtbFBLAQIUABQAAAAIAIdO4kAzLwWe&#10;OwAAADkAAAAQAAAAAAAAAAEAIAAAAAsBAABkcnMvc2hhcGV4bWwueG1sUEsFBgAAAAAGAAYAWwEA&#10;ALUDAAAAAA==&#10;">
                  <v:fill on="f" focussize="0,0"/>
                  <v:stroke weight="1.5pt" color="#000000" joinstyle="miter"/>
                  <v:imagedata o:title=""/>
                  <o:lock v:ext="edit" aspectratio="f"/>
                </v:line>
                <v:line id="直接连接符 7" o:spid="_x0000_s1026" o:spt="20" style="position:absolute;left:0;top:481;height:0;width:55975;" filled="f" stroked="t" coordsize="21600,21600" o:gfxdata="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0lBE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line>
                <v:line id="直接连接符 11" o:spid="_x0000_s1026" o:spt="20" style="position:absolute;left:0;top:7756;height:0;width:56159;" filled="f" stroked="t" coordsize="21600,21600" o:gfxdata="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eaYy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line>
                <v:shape id="文本框 12" o:spid="_x0000_s1026" o:spt="202" type="#_x0000_t202" style="position:absolute;left:0;top:0;height:7378;width:55562;"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0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v:textbox>
                </v:shape>
                <v:shape id="文本框 13" o:spid="_x0000_s1026" o:spt="202" type="#_x0000_t202" style="position:absolute;left:0;top:7247;height:3716;width:55937;"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v:textbox>
                </v:shape>
              </v:group>
            </w:pict>
          </mc:Fallback>
        </mc:AlternateContent>
      </w:r>
    </w:p>
    <w:p>
      <w:pPr>
        <w:tabs>
          <w:tab w:val="left" w:pos="372"/>
        </w:tabs>
        <w:rPr>
          <w:rFonts w:hint="eastAsia" w:ascii="楷体" w:hAnsi="楷体" w:eastAsia="楷体" w:cs="楷体"/>
          <w:sz w:val="32"/>
          <w:szCs w:val="32"/>
          <w:lang w:val="en-US" w:eastAsia="zh-CN"/>
        </w:rPr>
      </w:pPr>
    </w:p>
    <w:p>
      <w:pPr>
        <w:widowControl w:val="0"/>
        <w:rPr>
          <w:rFonts w:hint="eastAsia" w:ascii="仿宋_GB2312" w:hAnsi="仿宋_GB2312" w:eastAsia="仿宋_GB2312"/>
          <w:sz w:val="28"/>
          <w:szCs w:val="28"/>
          <w:u w:val="single" w:color="auto"/>
        </w:rPr>
      </w:pPr>
    </w:p>
    <w:sectPr>
      <w:footerReference r:id="rId9" w:type="default"/>
      <w:footerReference r:id="rId10" w:type="even"/>
      <w:footnotePr>
        <w:numFmt w:val="decimalHalfWidth"/>
      </w:footnotePr>
      <w:endnotePr>
        <w:numFmt w:val="chineseCounting"/>
      </w:endnotePr>
      <w:pgSz w:w="11905" w:h="16837"/>
      <w:pgMar w:top="2097" w:right="1474" w:bottom="1984" w:left="1587" w:header="566" w:footer="1417"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panose1 w:val="0201060900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0</wp:posOffset>
              </wp:positionV>
              <wp:extent cx="7620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2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2.2pt;margin-top:0pt;height:144pt;width:60pt;mso-position-horizontal-relative:margin;z-index:251662336;mso-width-relative:page;mso-height-relative:page;" filled="f" stroked="f" coordsize="21600,21600" o:gfxdata="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Tmn1/WAAAACAEAAA8AAAAAAAAAAQAgAAAAIgAAAGRycy9kb3ducmV2&#10;LnhtbFBLAQIUABQAAAAIAIdO4kC9FIPBNwIAAGIEAAAOAAAAAAAAAAEAIAAAACUBAABkcnMvZTJv&#10;RG9jLnhtbFBLBQYAAAAABgAGAFkBAADO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inline distT="0" distB="0" distL="114300" distR="114300">
              <wp:extent cx="5615940" cy="35941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59410"/>
                      </a:xfrm>
                      <a:prstGeom prst="rect">
                        <a:avLst/>
                      </a:prstGeom>
                      <a:noFill/>
                      <a:ln>
                        <a:noFill/>
                      </a:ln>
                    </wps:spPr>
                    <wps:bodyPr wrap="square" upright="1"/>
                  </wps:wsp>
                </a:graphicData>
              </a:graphic>
            </wp:inline>
          </w:drawing>
        </mc:Choice>
        <mc:Fallback>
          <w:pict>
            <v:rect id="图片 4" o:spid="_x0000_s1026" o:spt="1" style="height:28.3pt;width:442.2pt;" filled="f" stroked="f" coordsize="21600,21600" o:gfxdata="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Ey5MtYAAAAEAQAADwAAAAAAAAABACAAAAAiAAAAZHJzL2Rvd25yZXYueG1sUEsBAhQA&#10;FAAAAAgAh07iQLiectO7AQAAcAMAAA4AAAAAAAAAAQAgAAAAJQEAAGRycy9lMm9Eb2MueG1sUEsF&#10;BgAAAAAGAAYAWQEAAFIFA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959485"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594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5.55pt;mso-position-horizontal:outside;mso-position-horizontal-relative:margin;z-index:251663360;mso-width-relative:page;mso-height-relative:page;" filled="f" stroked="f" coordsize="21600,21600" o:gfxdata="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t29B1AAAAAUBAAAPAAAAAAAAAAEAIAAAACIAAABkcnMvZG93bnJl&#10;di54bWxQSwECFAAUAAAACACHTuJAuoP5DToCAABkBAAADgAAAAAAAAABACAAAAAjAQAAZHJzL2Uy&#10;b0RvYy54bWxQSwUGAAAAAAYABgBZAQAAzwUAAAAA&#10;">
              <v:fill on="f" focussize="0,0"/>
              <v:stroke on="f" weight="0.5pt"/>
              <v:imagedata o:title=""/>
              <o:lock v:ext="edit" aspectratio="f"/>
              <v:textbox inset="0mm,0mm,0mm,0mm" style="mso-fit-shape-to-text:t;">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inline distT="0" distB="0" distL="114300" distR="114300">
              <wp:extent cx="5615940" cy="35941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59410"/>
                      </a:xfrm>
                      <a:prstGeom prst="rect">
                        <a:avLst/>
                      </a:prstGeom>
                      <a:noFill/>
                      <a:ln>
                        <a:noFill/>
                      </a:ln>
                    </wps:spPr>
                    <wps:bodyPr wrap="square" upright="1"/>
                  </wps:wsp>
                </a:graphicData>
              </a:graphic>
            </wp:inline>
          </w:drawing>
        </mc:Choice>
        <mc:Fallback>
          <w:pict>
            <v:rect id="图片 3" o:spid="_x0000_s1026" o:spt="1" style="height:28.3pt;width:442.2pt;" filled="f" stroked="f" coordsize="21600,21600" o:gfxdata="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BMuTLWAAAABAEAAA8AAAAAAAAAAQAgAAAAIgAAAGRycy9kb3ducmV2LnhtbFBLAQIU&#10;ABQAAAAIAIdO4kAyn5VVvAEAAHADAAAOAAAAAAAAAAEAIAAAACUBAABkcnMvZTJvRG9jLnhtbFBL&#10;BQYAAAAABgAGAFkBAABTBQ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15940" cy="359410"/>
              <wp:effectExtent l="0" t="0" r="0" b="0"/>
              <wp:docPr id="1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59410"/>
                      </a:xfrm>
                      <a:prstGeom prst="rect">
                        <a:avLst/>
                      </a:prstGeom>
                      <a:noFill/>
                      <a:ln>
                        <a:noFill/>
                      </a:ln>
                    </wps:spPr>
                    <wps:bodyPr wrap="square" upright="1"/>
                  </wps:wsp>
                </a:graphicData>
              </a:graphic>
            </wp:inline>
          </w:drawing>
        </mc:Choice>
        <mc:Fallback>
          <w:pict>
            <v:rect id="图片 4" o:spid="_x0000_s1026" o:spt="1" style="height:28.3pt;width:442.2pt;" filled="f" stroked="f" coordsize="21600,21600" o:gfxdata="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BMuTLWAAAABAEAAA8AAAAAAAAAAQAgAAAAIgAAAGRycy9kb3ducmV2LnhtbFBLAQIU&#10;ABQAAAAIAIdO4kCw3RkOvAEAAHEDAAAOAAAAAAAAAAEAIAAAACUBAABkcnMvZTJvRG9jLnhtbFBL&#10;BQYAAAAABgAGAFkBAABT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15940" cy="359410"/>
              <wp:effectExtent l="0" t="0" r="0" b="0"/>
              <wp:docPr id="20"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59410"/>
                      </a:xfrm>
                      <a:prstGeom prst="rect">
                        <a:avLst/>
                      </a:prstGeom>
                      <a:noFill/>
                      <a:ln>
                        <a:noFill/>
                      </a:ln>
                    </wps:spPr>
                    <wps:bodyPr wrap="square" upright="1"/>
                  </wps:wsp>
                </a:graphicData>
              </a:graphic>
            </wp:inline>
          </w:drawing>
        </mc:Choice>
        <mc:Fallback>
          <w:pict>
            <v:rect id="图片 3" o:spid="_x0000_s1026" o:spt="1" style="height:28.3pt;width:442.2pt;" filled="f" stroked="f" coordsize="21600,21600" o:gfxdata="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BMuTLWAAAABAEAAA8AAAAAAAAAAQAgAAAAIgAAAGRycy9kb3ducmV2LnhtbFBLAQIU&#10;ABQAAAAIAIdO4kAgGIA/vAEAAHEDAAAOAAAAAAAAAAEAIAAAACUBAABkcnMvZTJvRG9jLnhtbFBL&#10;BQYAAAAABgAGAFkBAABTBQAAAAA=&#10;">
              <v:fill on="f" focussize="0,0"/>
              <v:stroke on="f"/>
              <v:imagedata o:title=""/>
              <o:lock v:ext="edit" aspectratio="t"/>
              <w10:wrap type="non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615940" cy="9715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6.5pt;width:442.2pt;z-index:251661312;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OFEfdYAAAAFAQAADwAAAAAAAAABACAAAAAiAAAAZHJz&#10;L2Rvd25yZXYueG1sUEsBAhQAFAAAAAgAh07iQAuaPLjNAQAAiQMAAA4AAAAAAAAAAQAgAAAAJQEA&#10;AGRycy9lMm9Eb2MueG1sUEsFBgAAAAAGAAYAWQEAAGQ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71550"/>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a:noFill/>
                      </a:ln>
                    </wps:spPr>
                    <wps:bodyPr wrap="square" upright="1"/>
                  </wps:wsp>
                </a:graphicData>
              </a:graphic>
            </wp:inline>
          </w:drawing>
        </mc:Choice>
        <mc:Fallback>
          <w:pict>
            <v:rect id="图片 2"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rqBMtcAAAAFAQAADwAAAAAAAAABACAAAAAiAAAAZHJzL2Rvd25yZXYueG1sUEsB&#10;AhQAFAAAAAgAh07iQJHCAN29AQAAcAMAAA4AAAAAAAAAAQAgAAAAJgEAAGRycy9lMm9Eb2MueG1s&#10;UEsFBgAAAAAGAAYAWQEAAFUFA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615940" cy="971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6.5pt;width:442.2pt;z-index:251660288;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M4UR91gAAAAUBAAAPAAAAAAAAAAEAIAAAACIAAABkcnMv&#10;ZG93bnJldi54bWxQSwECFAAUAAAACACHTuJAduZNDcwBAACJAwAADgAAAAAAAAABACAAAAAlAQAA&#10;ZHJzL2Uyb0RvYy54bWxQSwUGAAAAAAYABgBZAQAAYw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71550"/>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a:noFill/>
                      </a:ln>
                    </wps:spPr>
                    <wps:bodyPr wrap="square" upright="1"/>
                  </wps:wsp>
                </a:graphicData>
              </a:graphic>
            </wp:inline>
          </w:drawing>
        </mc:Choice>
        <mc:Fallback>
          <w:pict>
            <v:rect id="图片 1"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rqBMtcAAAAFAQAADwAAAAAAAAABACAAAAAiAAAAZHJzL2Rvd25yZXYueG1sUEsB&#10;AhQAFAAAAAgAh07iQBEDpjW9AQAAcAMAAA4AAAAAAAAAAQAgAAAAJgEAAGRycy9lMm9Eb2MueG1s&#10;UEsFBgAAAAAGAAYAWQEAAFUFA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ZDUyNTE2Nzk3NzJkMDA1MGRjMWQ5MWU0ZTZhNWIifQ=="/>
  </w:docVars>
  <w:rsids>
    <w:rsidRoot w:val="00172A27"/>
    <w:rsid w:val="16D00D4E"/>
    <w:rsid w:val="1E573BEF"/>
    <w:rsid w:val="56020981"/>
    <w:rsid w:val="64B52B28"/>
    <w:rsid w:val="74F66611"/>
    <w:rsid w:val="7BA55E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paragraph" w:styleId="3">
    <w:name w:val="heading 1"/>
    <w:basedOn w:val="1"/>
    <w:next w:val="4"/>
    <w:qFormat/>
    <w:uiPriority w:val="0"/>
    <w:pPr>
      <w:spacing w:before="104" w:beforeLines="0" w:after="104" w:afterLines="0" w:line="0" w:lineRule="atLeast"/>
      <w:ind w:firstLine="0" w:firstLineChars="0"/>
      <w:jc w:val="center"/>
    </w:pPr>
    <w:rPr>
      <w:rFonts w:ascii="Arial" w:hAnsi="Arial" w:eastAsia="黑体"/>
      <w:sz w:val="32"/>
      <w:szCs w:val="32"/>
    </w:rPr>
  </w:style>
  <w:style w:type="paragraph" w:styleId="4">
    <w:name w:val="heading 2"/>
    <w:basedOn w:val="1"/>
    <w:next w:val="5"/>
    <w:qFormat/>
    <w:uiPriority w:val="0"/>
    <w:pPr>
      <w:spacing w:line="0" w:lineRule="atLeast"/>
      <w:ind w:firstLine="0" w:firstLineChars="0"/>
      <w:jc w:val="center"/>
    </w:pPr>
    <w:rPr>
      <w:rFonts w:ascii="Times New Roman" w:hAnsi="Times New Roman"/>
      <w:sz w:val="28"/>
      <w:szCs w:val="28"/>
    </w:rPr>
  </w:style>
  <w:style w:type="paragraph" w:styleId="5">
    <w:name w:val="heading 3"/>
    <w:basedOn w:val="1"/>
    <w:next w:val="1"/>
    <w:qFormat/>
    <w:uiPriority w:val="0"/>
    <w:pPr>
      <w:spacing w:before="104" w:beforeLines="0" w:after="104" w:afterLines="0"/>
      <w:ind w:firstLine="0" w:firstLineChars="0"/>
    </w:pPr>
    <w:rPr>
      <w:rFonts w:eastAsia="黑体"/>
    </w:rPr>
  </w:style>
  <w:style w:type="character" w:default="1" w:styleId="14">
    <w:name w:val="Default Paragraph Font"/>
    <w:qFormat/>
    <w:uiPriority w:val="0"/>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100" w:beforeAutospacing="1" w:after="120"/>
    </w:pPr>
  </w:style>
  <w:style w:type="paragraph" w:styleId="6">
    <w:name w:val="toc 3"/>
    <w:basedOn w:val="1"/>
    <w:next w:val="1"/>
    <w:qFormat/>
    <w:uiPriority w:val="0"/>
    <w:pPr>
      <w:spacing w:line="306" w:lineRule="auto"/>
      <w:ind w:left="419" w:leftChars="0"/>
    </w:pPr>
  </w:style>
  <w:style w:type="paragraph" w:styleId="7">
    <w:name w:val="footer"/>
    <w:basedOn w:val="1"/>
    <w:semiHidden/>
    <w:unhideWhenUsed/>
    <w:uiPriority w:val="99"/>
    <w:pPr>
      <w:tabs>
        <w:tab w:val="center" w:pos="4153"/>
        <w:tab w:val="right" w:pos="8306"/>
      </w:tabs>
      <w:snapToGrid w:val="0"/>
      <w:jc w:val="left"/>
    </w:pPr>
    <w:rPr>
      <w:sz w:val="18"/>
    </w:rPr>
  </w:style>
  <w:style w:type="paragraph" w:styleId="8">
    <w:name w:val="toc 1"/>
    <w:basedOn w:val="1"/>
    <w:next w:val="1"/>
    <w:qFormat/>
    <w:uiPriority w:val="0"/>
    <w:pPr>
      <w:spacing w:after="104" w:afterLines="0" w:line="0" w:lineRule="atLeast"/>
      <w:jc w:val="left"/>
    </w:pPr>
  </w:style>
  <w:style w:type="paragraph" w:styleId="9">
    <w:name w:val="toc 4"/>
    <w:basedOn w:val="1"/>
    <w:next w:val="1"/>
    <w:qFormat/>
    <w:uiPriority w:val="0"/>
    <w:pPr>
      <w:spacing w:line="306" w:lineRule="auto"/>
      <w:ind w:left="419" w:leftChars="0" w:firstLine="629" w:firstLineChars="0"/>
    </w:pPr>
  </w:style>
  <w:style w:type="paragraph" w:styleId="10">
    <w:name w:val="toc 2"/>
    <w:basedOn w:val="1"/>
    <w:next w:val="1"/>
    <w:qFormat/>
    <w:uiPriority w:val="0"/>
    <w:pPr>
      <w:spacing w:line="306" w:lineRule="auto"/>
      <w:ind w:left="419" w:leftChars="0"/>
    </w:pPr>
  </w:style>
  <w:style w:type="paragraph" w:styleId="11">
    <w:name w:val="Title"/>
    <w:basedOn w:val="1"/>
    <w:next w:val="12"/>
    <w:qFormat/>
    <w:uiPriority w:val="0"/>
    <w:pPr>
      <w:spacing w:before="209" w:beforeLines="0" w:after="209" w:afterLines="0" w:line="0" w:lineRule="atLeast"/>
      <w:ind w:firstLine="0" w:firstLineChars="0"/>
      <w:jc w:val="center"/>
    </w:pPr>
    <w:rPr>
      <w:rFonts w:ascii="Arial" w:hAnsi="Arial" w:eastAsia="黑体"/>
      <w:sz w:val="52"/>
      <w:szCs w:val="52"/>
    </w:rPr>
  </w:style>
  <w:style w:type="paragraph" w:customStyle="1" w:styleId="12">
    <w:name w:val="文章附标题"/>
    <w:basedOn w:val="1"/>
    <w:next w:val="3"/>
    <w:uiPriority w:val="0"/>
    <w:pPr>
      <w:spacing w:before="104" w:beforeLines="0" w:after="104" w:afterLines="0" w:line="0" w:lineRule="atLeast"/>
      <w:ind w:firstLine="0" w:firstLineChars="0"/>
      <w:jc w:val="center"/>
    </w:pPr>
    <w:rPr>
      <w:sz w:val="36"/>
      <w:szCs w:val="36"/>
    </w:rPr>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szCs w:val="44"/>
    </w:rPr>
  </w:style>
  <w:style w:type="paragraph" w:customStyle="1" w:styleId="16">
    <w:name w:val="WPS Plain"/>
    <w:qFormat/>
    <w:uiPriority w:val="0"/>
    <w:rPr>
      <w:rFonts w:ascii="Times New Roman" w:hAnsi="Times New Roman" w:eastAsia="宋体" w:cs="Times New Roman"/>
    </w:rPr>
  </w:style>
  <w:style w:type="character" w:customStyle="1" w:styleId="17">
    <w:name w:val="链接"/>
    <w:basedOn w:val="14"/>
    <w:qFormat/>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3296</Words>
  <Characters>3345</Characters>
  <TotalTime>22</TotalTime>
  <ScaleCrop>false</ScaleCrop>
  <LinksUpToDate>false</LinksUpToDate>
  <CharactersWithSpaces>3409</CharactersWithSpaces>
  <Application>WPS Office_11.1.0.10950_F1E327BC-269C-435d-A152-05C5408002CA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2022-06-17T13:14:00Z</dcterms:created>
  <dc:creator>朱凯</dc:creator>
  <cp:lastModifiedBy>mqkjc</cp:lastModifiedBy>
  <cp:lastPrinted>2022-06-18T01:35:00Z</cp:lastPrinted>
  <dcterms:modified xsi:type="dcterms:W3CDTF">2022-06-20T00:57:33Z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CA60A41619B0404C9096B03DA7C6810F</vt:lpwstr>
  </property>
</Properties>
</file>