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宋体"/>
          <w:lang w:val="en-US" w:eastAsia="zh-CN"/>
        </w:rPr>
      </w:pPr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内容）</w:t>
      </w:r>
      <w:bookmarkStart w:id="0" w:name="_GoBack"/>
      <w:bookmarkEnd w:id="0"/>
    </w:p>
    <w:p/>
    <w:tbl>
      <w:tblPr>
        <w:tblStyle w:val="11"/>
        <w:tblW w:w="13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567"/>
        <w:gridCol w:w="1702"/>
        <w:gridCol w:w="9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民权县创新建材有限公司年产15万方商品混凝土项目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河南省商丘市民权县人和镇秦庄村南50米西侧10号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民权县创新建材有限公司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河南省波光环境评估服务有限公司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根据《产业结构调整指导目录（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年本）》，该项目不属于鼓励类、限制类和淘汰类项目，因此该项目属于国家允许类项目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项目</w:t>
            </w:r>
            <w:r>
              <w:rPr>
                <w:rFonts w:hint="eastAsia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属于新建性质，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系租用个人张伟闲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置场地进行建设，工程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占地面积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为3996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总投资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万元，项目环保投资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28.2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万元，占总投资的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18.8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%。</w:t>
            </w:r>
          </w:p>
        </w:tc>
        <w:tc>
          <w:tcPr>
            <w:tcW w:w="9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废水：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搅拌机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清洗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废水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混凝土运输罐车清洗废水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砂石分离机+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三级沉淀池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废水处理系统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处理后，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全部回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用于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生产线搅拌机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搅拌用水，不外排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车辆清洗废水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经6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三级沉淀池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沉淀处理后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循环利用，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不外排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项目生活废水经化粪池处理后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定期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清掏，外运肥田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废气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：①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铲车上料粉尘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配料机料斗上方设半封闭式集气罩，然后通过风管将废气抽至一套袋式除尘器进行处理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 w:color="auto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处理后通过15m高排气筒排放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搅拌机进料粉尘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经自带除尘器处理后再引入到一台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1套袋式除尘器进行处理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通过15m高排气筒排放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；③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砂料库</w:t>
            </w: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原料装卸及堆放过程产生的粉尘</w:t>
            </w:r>
            <w:r>
              <w:rPr>
                <w:rFonts w:hint="eastAsia" w:hAnsi="宋体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砂料库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原料卸车时储料车间全封闭+喷雾装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；④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石料库</w:t>
            </w:r>
            <w:r>
              <w:rPr>
                <w:rFonts w:hint="eastAsia" w:ascii="Times New Roman" w:hAnsi="宋体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原料装卸及堆放过程产生的粉尘</w:t>
            </w:r>
            <w:r>
              <w:rPr>
                <w:rFonts w:hint="eastAsia" w:hAnsi="宋体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石料库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原料卸车时储料车间全封闭+喷雾装置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；⑤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粉料入仓粉尘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pacing w:val="9"/>
                <w:sz w:val="21"/>
                <w:szCs w:val="21"/>
                <w:u w:val="none" w:color="auto"/>
              </w:rPr>
              <w:t>经筒仓自带仓顶除尘器处理后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在搅拌车间内排放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；⑥：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车辆运输扬尘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及时对厂区内地面进行洒水降尘、清扫；汽车进入厂区后要减速慢行；砂和石子运输车辆要封闭遮盖，粉料采用密闭罐车运输，减少原料的散落；运输车辆进出厂区，在厂区出入口使用车辆冲洗设施对出入厂车辆及其底盘进行冲洗，严禁带泥上路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保持周边道路环境清洁。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、项目固体废物主要为一般固废。一般固废为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砂石分离机分离出的砂石、沉淀池沉泥、除尘器收集的粉尘、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生活垃圾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。砂石分离机分离出的砂石收集后可回用于生产，除尘器收集的粉尘经密闭容器收集后收回用于生产；沉淀池沉泥经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密闭容器收集，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一般固废暂存间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暂存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由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环卫部门清运处理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；生活垃圾圾桶收集后交环卫部门定期清运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F72450"/>
    <w:rsid w:val="06600C79"/>
    <w:rsid w:val="07AF1E67"/>
    <w:rsid w:val="114105BA"/>
    <w:rsid w:val="1B7C72FE"/>
    <w:rsid w:val="1D713B37"/>
    <w:rsid w:val="1FCD1D53"/>
    <w:rsid w:val="31EA3933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7690E03"/>
    <w:rsid w:val="5F6E6039"/>
    <w:rsid w:val="620F0E3C"/>
    <w:rsid w:val="62A77163"/>
    <w:rsid w:val="63C17BCC"/>
    <w:rsid w:val="683F2961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Body Text"/>
    <w:basedOn w:val="1"/>
    <w:link w:val="16"/>
    <w:qFormat/>
    <w:uiPriority w:val="0"/>
    <w:pPr>
      <w:spacing w:after="120" w:afterLines="0" w:afterAutospacing="0"/>
    </w:pPr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1255</Words>
  <Characters>1317</Characters>
  <Lines>9</Lines>
  <Paragraphs>2</Paragraphs>
  <TotalTime>6</TotalTime>
  <ScaleCrop>false</ScaleCrop>
  <LinksUpToDate>false</LinksUpToDate>
  <CharactersWithSpaces>1317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2022-07-08T08:13:47Z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CBF00FE6FEC845468DDB65B2EEDF6528</vt:lpwstr>
  </property>
</Properties>
</file>