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olor w:val="000000" w:themeColor="text1"/>
          <w:sz w:val="36"/>
          <w:szCs w:val="36"/>
          <w14:textFill>
            <w14:solidFill>
              <w14:schemeClr w14:val="tx1"/>
            </w14:solidFill>
          </w14:textFill>
        </w:rPr>
      </w:pPr>
      <w:bookmarkStart w:id="0" w:name="_Toc51309175"/>
    </w:p>
    <w:p>
      <w:pPr>
        <w:widowControl/>
        <w:jc w:val="center"/>
        <w:rPr>
          <w:rFonts w:ascii="黑体" w:hAnsi="黑体" w:eastAsia="黑体"/>
          <w:color w:val="000000" w:themeColor="text1"/>
          <w:sz w:val="36"/>
          <w:szCs w:val="36"/>
          <w14:textFill>
            <w14:solidFill>
              <w14:schemeClr w14:val="tx1"/>
            </w14:solidFill>
          </w14:textFill>
        </w:rPr>
      </w:pPr>
    </w:p>
    <w:p>
      <w:pPr>
        <w:adjustRightInd w:val="0"/>
        <w:snapToGrid w:val="0"/>
        <w:spacing w:line="720" w:lineRule="exact"/>
        <w:jc w:val="center"/>
        <w:rPr>
          <w:rFonts w:ascii="方正小标宋简体" w:eastAsia="方正小标宋简体" w:hAnsiTheme="majorEastAsia"/>
          <w:color w:val="000000" w:themeColor="text1"/>
          <w:spacing w:val="40"/>
          <w:sz w:val="52"/>
          <w:szCs w:val="52"/>
          <w14:textFill>
            <w14:solidFill>
              <w14:schemeClr w14:val="tx1"/>
            </w14:solidFill>
          </w14:textFill>
        </w:rPr>
      </w:pPr>
      <w:r>
        <w:rPr>
          <w:rFonts w:hint="eastAsia" w:ascii="方正小标宋简体" w:eastAsia="方正小标宋简体" w:hAnsiTheme="majorEastAsia"/>
          <w:color w:val="000000" w:themeColor="text1"/>
          <w:spacing w:val="40"/>
          <w:sz w:val="52"/>
          <w:szCs w:val="52"/>
          <w14:textFill>
            <w14:solidFill>
              <w14:schemeClr w14:val="tx1"/>
            </w14:solidFill>
          </w14:textFill>
        </w:rPr>
        <w:t>民权县国民经济和社会发展</w:t>
      </w:r>
    </w:p>
    <w:p>
      <w:pPr>
        <w:adjustRightInd w:val="0"/>
        <w:snapToGrid w:val="0"/>
        <w:spacing w:line="720" w:lineRule="exact"/>
        <w:jc w:val="center"/>
        <w:rPr>
          <w:rFonts w:ascii="方正小标宋简体" w:eastAsia="方正小标宋简体" w:hAnsiTheme="majorEastAsia"/>
          <w:color w:val="000000" w:themeColor="text1"/>
          <w:spacing w:val="40"/>
          <w:sz w:val="52"/>
          <w:szCs w:val="52"/>
          <w14:textFill>
            <w14:solidFill>
              <w14:schemeClr w14:val="tx1"/>
            </w14:solidFill>
          </w14:textFill>
        </w:rPr>
      </w:pPr>
      <w:r>
        <w:rPr>
          <w:rFonts w:hint="eastAsia" w:ascii="方正小标宋简体" w:eastAsia="方正小标宋简体" w:hAnsiTheme="majorEastAsia"/>
          <w:color w:val="000000" w:themeColor="text1"/>
          <w:spacing w:val="22"/>
          <w:sz w:val="52"/>
          <w:szCs w:val="52"/>
          <w14:textFill>
            <w14:solidFill>
              <w14:schemeClr w14:val="tx1"/>
            </w14:solidFill>
          </w14:textFill>
        </w:rPr>
        <w:t>第十四个五年规划和二</w:t>
      </w:r>
      <w:r>
        <w:rPr>
          <w:rFonts w:hint="eastAsia" w:ascii="方正小标宋简体" w:hAnsiTheme="majorEastAsia" w:eastAsiaTheme="majorEastAsia"/>
          <w:color w:val="000000" w:themeColor="text1"/>
          <w:spacing w:val="22"/>
          <w:sz w:val="52"/>
          <w:szCs w:val="52"/>
          <w14:textFill>
            <w14:solidFill>
              <w14:schemeClr w14:val="tx1"/>
            </w14:solidFill>
          </w14:textFill>
        </w:rPr>
        <w:t>〇</w:t>
      </w:r>
      <w:r>
        <w:rPr>
          <w:rFonts w:hint="eastAsia" w:ascii="方正小标宋简体" w:eastAsia="方正小标宋简体" w:hAnsiTheme="majorEastAsia"/>
          <w:color w:val="000000" w:themeColor="text1"/>
          <w:spacing w:val="22"/>
          <w:sz w:val="52"/>
          <w:szCs w:val="52"/>
          <w14:textFill>
            <w14:solidFill>
              <w14:schemeClr w14:val="tx1"/>
            </w14:solidFill>
          </w14:textFill>
        </w:rPr>
        <w:t>三五年远</w:t>
      </w:r>
      <w:r>
        <w:rPr>
          <w:rFonts w:hint="eastAsia" w:ascii="方正小标宋简体" w:eastAsia="方正小标宋简体" w:hAnsiTheme="majorEastAsia"/>
          <w:color w:val="000000" w:themeColor="text1"/>
          <w:spacing w:val="40"/>
          <w:sz w:val="52"/>
          <w:szCs w:val="52"/>
          <w14:textFill>
            <w14:solidFill>
              <w14:schemeClr w14:val="tx1"/>
            </w14:solidFill>
          </w14:textFill>
        </w:rPr>
        <w:t>景目标纲要</w:t>
      </w:r>
    </w:p>
    <w:p>
      <w:pPr>
        <w:widowControl/>
        <w:jc w:val="center"/>
        <w:rPr>
          <w:rFonts w:ascii="方正小标宋简体" w:eastAsia="方正小标宋简体" w:hAnsiTheme="majorEastAsia"/>
          <w:color w:val="000000" w:themeColor="text1"/>
          <w:sz w:val="36"/>
          <w:szCs w:val="36"/>
          <w14:textFill>
            <w14:solidFill>
              <w14:schemeClr w14:val="tx1"/>
            </w14:solidFill>
          </w14:textFill>
        </w:rPr>
      </w:pPr>
    </w:p>
    <w:p>
      <w:pPr>
        <w:widowControl/>
        <w:jc w:val="center"/>
        <w:rPr>
          <w:rFonts w:ascii="方正小标宋简体" w:eastAsia="方正小标宋简体" w:hAnsiTheme="majorEastAsia"/>
          <w:color w:val="000000" w:themeColor="text1"/>
          <w:sz w:val="36"/>
          <w:szCs w:val="36"/>
          <w14:textFill>
            <w14:solidFill>
              <w14:schemeClr w14:val="tx1"/>
            </w14:solidFill>
          </w14:textFill>
        </w:rPr>
      </w:pPr>
    </w:p>
    <w:p>
      <w:pPr>
        <w:widowControl/>
        <w:jc w:val="center"/>
        <w:rPr>
          <w:rFonts w:ascii="方正小标宋简体" w:eastAsia="方正小标宋简体" w:hAnsiTheme="majorEastAsia"/>
          <w:color w:val="000000" w:themeColor="text1"/>
          <w:sz w:val="36"/>
          <w:szCs w:val="36"/>
          <w14:textFill>
            <w14:solidFill>
              <w14:schemeClr w14:val="tx1"/>
            </w14:solidFill>
          </w14:textFill>
        </w:rPr>
      </w:pPr>
    </w:p>
    <w:p>
      <w:pPr>
        <w:widowControl/>
        <w:jc w:val="center"/>
        <w:rPr>
          <w:rFonts w:ascii="方正小标宋简体" w:eastAsia="方正小标宋简体" w:hAnsiTheme="majorEastAsia"/>
          <w:color w:val="000000" w:themeColor="text1"/>
          <w:sz w:val="36"/>
          <w:szCs w:val="36"/>
          <w14:textFill>
            <w14:solidFill>
              <w14:schemeClr w14:val="tx1"/>
            </w14:solidFill>
          </w14:textFill>
        </w:rPr>
      </w:pPr>
    </w:p>
    <w:p>
      <w:pPr>
        <w:widowControl/>
        <w:jc w:val="center"/>
        <w:rPr>
          <w:rFonts w:ascii="方正小标宋简体" w:eastAsia="方正小标宋简体" w:hAnsiTheme="majorEastAsia"/>
          <w:color w:val="000000" w:themeColor="text1"/>
          <w:sz w:val="36"/>
          <w:szCs w:val="36"/>
          <w14:textFill>
            <w14:solidFill>
              <w14:schemeClr w14:val="tx1"/>
            </w14:solidFill>
          </w14:textFill>
        </w:rPr>
      </w:pPr>
    </w:p>
    <w:p>
      <w:pPr>
        <w:widowControl/>
        <w:jc w:val="center"/>
        <w:rPr>
          <w:rFonts w:ascii="方正小标宋简体" w:eastAsia="方正小标宋简体" w:hAnsiTheme="majorEastAsia"/>
          <w:color w:val="000000" w:themeColor="text1"/>
          <w:sz w:val="36"/>
          <w:szCs w:val="36"/>
          <w14:textFill>
            <w14:solidFill>
              <w14:schemeClr w14:val="tx1"/>
            </w14:solidFill>
          </w14:textFill>
        </w:rPr>
      </w:pPr>
    </w:p>
    <w:p>
      <w:pPr>
        <w:widowControl/>
        <w:jc w:val="center"/>
        <w:rPr>
          <w:rFonts w:ascii="方正小标宋简体" w:eastAsia="方正小标宋简体" w:hAnsiTheme="majorEastAsia"/>
          <w:color w:val="000000" w:themeColor="text1"/>
          <w:sz w:val="36"/>
          <w:szCs w:val="36"/>
          <w14:textFill>
            <w14:solidFill>
              <w14:schemeClr w14:val="tx1"/>
            </w14:solidFill>
          </w14:textFill>
        </w:rPr>
      </w:pPr>
    </w:p>
    <w:p>
      <w:pPr>
        <w:widowControl/>
        <w:jc w:val="center"/>
        <w:rPr>
          <w:rFonts w:ascii="方正小标宋简体" w:eastAsia="方正小标宋简体" w:hAnsiTheme="majorEastAsia"/>
          <w:color w:val="000000" w:themeColor="text1"/>
          <w:sz w:val="36"/>
          <w:szCs w:val="36"/>
          <w14:textFill>
            <w14:solidFill>
              <w14:schemeClr w14:val="tx1"/>
            </w14:solidFill>
          </w14:textFill>
        </w:rPr>
      </w:pPr>
    </w:p>
    <w:p>
      <w:pPr>
        <w:widowControl/>
        <w:jc w:val="center"/>
        <w:rPr>
          <w:rFonts w:ascii="方正小标宋简体" w:eastAsia="方正小标宋简体" w:hAnsiTheme="majorEastAsia"/>
          <w:color w:val="000000" w:themeColor="text1"/>
          <w:sz w:val="36"/>
          <w:szCs w:val="36"/>
          <w14:textFill>
            <w14:solidFill>
              <w14:schemeClr w14:val="tx1"/>
            </w14:solidFill>
          </w14:textFill>
        </w:rPr>
      </w:pPr>
    </w:p>
    <w:p>
      <w:pPr>
        <w:widowControl/>
        <w:jc w:val="center"/>
        <w:rPr>
          <w:rFonts w:ascii="方正小标宋简体" w:eastAsia="方正小标宋简体" w:hAnsiTheme="majorEastAsia"/>
          <w:color w:val="000000" w:themeColor="text1"/>
          <w:sz w:val="36"/>
          <w:szCs w:val="36"/>
          <w14:textFill>
            <w14:solidFill>
              <w14:schemeClr w14:val="tx1"/>
            </w14:solidFill>
          </w14:textFill>
        </w:rPr>
      </w:pPr>
    </w:p>
    <w:p>
      <w:pPr>
        <w:widowControl/>
        <w:jc w:val="center"/>
        <w:rPr>
          <w:rFonts w:ascii="方正小标宋简体" w:eastAsia="方正小标宋简体" w:hAnsiTheme="majorEastAsia"/>
          <w:color w:val="000000" w:themeColor="text1"/>
          <w:sz w:val="36"/>
          <w:szCs w:val="36"/>
          <w14:textFill>
            <w14:solidFill>
              <w14:schemeClr w14:val="tx1"/>
            </w14:solidFill>
          </w14:textFill>
        </w:rPr>
      </w:pPr>
    </w:p>
    <w:p>
      <w:pPr>
        <w:widowControl/>
        <w:jc w:val="center"/>
        <w:rPr>
          <w:rFonts w:ascii="方正小标宋简体" w:eastAsia="方正小标宋简体" w:hAnsiTheme="majorEastAsia"/>
          <w:color w:val="000000" w:themeColor="text1"/>
          <w:sz w:val="36"/>
          <w:szCs w:val="36"/>
          <w14:textFill>
            <w14:solidFill>
              <w14:schemeClr w14:val="tx1"/>
            </w14:solidFill>
          </w14:textFill>
        </w:rPr>
      </w:pPr>
    </w:p>
    <w:p>
      <w:pPr>
        <w:widowControl/>
        <w:jc w:val="center"/>
        <w:rPr>
          <w:rFonts w:ascii="方正小标宋简体" w:eastAsia="方正小标宋简体" w:hAnsiTheme="majorEastAsia"/>
          <w:color w:val="000000" w:themeColor="text1"/>
          <w:sz w:val="36"/>
          <w:szCs w:val="36"/>
          <w14:textFill>
            <w14:solidFill>
              <w14:schemeClr w14:val="tx1"/>
            </w14:solidFill>
          </w14:textFill>
        </w:rPr>
      </w:pPr>
      <w:r>
        <w:rPr>
          <w:rFonts w:hint="eastAsia" w:ascii="方正小标宋简体" w:eastAsia="方正小标宋简体" w:hAnsiTheme="majorEastAsia"/>
          <w:color w:val="000000" w:themeColor="text1"/>
          <w:sz w:val="36"/>
          <w:szCs w:val="36"/>
          <w14:textFill>
            <w14:solidFill>
              <w14:schemeClr w14:val="tx1"/>
            </w14:solidFill>
          </w14:textFill>
        </w:rPr>
        <w:t>民权县发展和改革委员会</w:t>
      </w:r>
    </w:p>
    <w:p>
      <w:pPr>
        <w:jc w:val="center"/>
        <w:rPr>
          <w:rFonts w:ascii="方正小标宋简体" w:eastAsia="方正小标宋简体" w:hAnsiTheme="majorEastAsia"/>
          <w:color w:val="000000" w:themeColor="text1"/>
          <w:sz w:val="36"/>
          <w:szCs w:val="36"/>
          <w14:textFill>
            <w14:solidFill>
              <w14:schemeClr w14:val="tx1"/>
            </w14:solidFill>
          </w14:textFill>
        </w:rPr>
      </w:pPr>
      <w:r>
        <w:rPr>
          <w:rFonts w:hint="eastAsia" w:ascii="方正小标宋简体" w:eastAsia="方正小标宋简体" w:hAnsiTheme="majorEastAsia"/>
          <w:color w:val="000000" w:themeColor="text1"/>
          <w:sz w:val="36"/>
          <w:szCs w:val="36"/>
          <w14:textFill>
            <w14:solidFill>
              <w14:schemeClr w14:val="tx1"/>
            </w14:solidFill>
          </w14:textFill>
        </w:rPr>
        <w:t>2021年4月</w:t>
      </w:r>
    </w:p>
    <w:p>
      <w:pPr>
        <w:jc w:val="center"/>
        <w:rPr>
          <w:rFonts w:ascii="Times New Roman" w:hAnsi="Times New Roman" w:eastAsia="黑体"/>
          <w:color w:val="000000" w:themeColor="text1"/>
          <w:sz w:val="36"/>
          <w:szCs w:val="36"/>
          <w14:textFill>
            <w14:solidFill>
              <w14:schemeClr w14:val="tx1"/>
            </w14:solidFill>
          </w14:textFill>
        </w:rPr>
      </w:pPr>
    </w:p>
    <w:p>
      <w:pPr>
        <w:jc w:val="center"/>
        <w:rPr>
          <w:rFonts w:ascii="Times New Roman" w:hAnsi="Times New Roman" w:eastAsia="黑体"/>
          <w:color w:val="000000" w:themeColor="text1"/>
          <w:sz w:val="36"/>
          <w:szCs w:val="36"/>
          <w14:textFill>
            <w14:solidFill>
              <w14:schemeClr w14:val="tx1"/>
            </w14:solidFill>
          </w14:textFill>
        </w:rPr>
      </w:pPr>
    </w:p>
    <w:p>
      <w:pPr>
        <w:jc w:val="center"/>
        <w:rPr>
          <w:rFonts w:ascii="Times New Roman" w:hAnsi="Times New Roman" w:eastAsia="黑体"/>
          <w:color w:val="000000" w:themeColor="text1"/>
          <w:sz w:val="36"/>
          <w:szCs w:val="36"/>
          <w14:textFill>
            <w14:solidFill>
              <w14:schemeClr w14:val="tx1"/>
            </w14:solidFill>
          </w14:textFill>
        </w:rPr>
      </w:pPr>
    </w:p>
    <w:p>
      <w:pPr>
        <w:jc w:val="center"/>
        <w:rPr>
          <w:rFonts w:ascii="Times New Roman" w:hAnsi="Times New Roman" w:eastAsia="黑体"/>
          <w:color w:val="000000" w:themeColor="text1"/>
          <w:sz w:val="36"/>
          <w:szCs w:val="36"/>
          <w14:textFill>
            <w14:solidFill>
              <w14:schemeClr w14:val="tx1"/>
            </w14:solidFill>
          </w14:textFill>
        </w:rPr>
      </w:pPr>
    </w:p>
    <w:p>
      <w:pPr>
        <w:jc w:val="center"/>
        <w:rPr>
          <w:rFonts w:ascii="Times New Roman" w:hAnsi="Times New Roman" w:eastAsia="黑体"/>
          <w:color w:val="000000" w:themeColor="text1"/>
          <w:sz w:val="36"/>
          <w:szCs w:val="36"/>
          <w14:textFill>
            <w14:solidFill>
              <w14:schemeClr w14:val="tx1"/>
            </w14:solidFill>
          </w14:textFill>
        </w:rPr>
      </w:pPr>
    </w:p>
    <w:p>
      <w:pPr>
        <w:jc w:val="center"/>
        <w:rPr>
          <w:rFonts w:ascii="Times New Roman" w:hAnsi="Times New Roman" w:eastAsia="黑体"/>
          <w:color w:val="000000" w:themeColor="text1"/>
          <w:sz w:val="36"/>
          <w:szCs w:val="36"/>
          <w14:textFill>
            <w14:solidFill>
              <w14:schemeClr w14:val="tx1"/>
            </w14:solidFill>
          </w14:textFill>
        </w:rPr>
      </w:pPr>
    </w:p>
    <w:p>
      <w:pPr>
        <w:jc w:val="center"/>
        <w:rPr>
          <w:rFonts w:ascii="Times New Roman" w:hAnsi="Times New Roman" w:eastAsia="黑体"/>
          <w:color w:val="000000" w:themeColor="text1"/>
          <w:sz w:val="36"/>
          <w:szCs w:val="36"/>
          <w14:textFill>
            <w14:solidFill>
              <w14:schemeClr w14:val="tx1"/>
            </w14:solidFill>
          </w14:textFill>
        </w:rPr>
      </w:pPr>
    </w:p>
    <w:p>
      <w:pPr>
        <w:ind w:left="567" w:leftChars="270"/>
        <w:jc w:val="left"/>
        <w:rPr>
          <w:rFonts w:ascii="Times New Roman" w:hAnsi="Times New Roman" w:eastAsia="黑体"/>
          <w:color w:val="000000" w:themeColor="text1"/>
          <w:sz w:val="36"/>
          <w:szCs w:val="36"/>
          <w14:textFill>
            <w14:solidFill>
              <w14:schemeClr w14:val="tx1"/>
            </w14:solidFill>
          </w14:textFill>
        </w:rPr>
      </w:pPr>
      <w:r>
        <w:rPr>
          <w:rFonts w:hint="eastAsia" w:ascii="Times New Roman" w:hAnsi="Times New Roman" w:eastAsia="黑体"/>
          <w:color w:val="000000" w:themeColor="text1"/>
          <w:sz w:val="36"/>
          <w:szCs w:val="36"/>
          <w14:textFill>
            <w14:solidFill>
              <w14:schemeClr w14:val="tx1"/>
            </w14:solidFill>
          </w14:textFill>
        </w:rPr>
        <w:t>规划编制单位：民权县发展和改革委员会</w:t>
      </w:r>
    </w:p>
    <w:p>
      <w:pPr>
        <w:ind w:left="567" w:leftChars="270"/>
        <w:jc w:val="left"/>
        <w:rPr>
          <w:rFonts w:ascii="Times New Roman" w:hAnsi="Times New Roman" w:eastAsia="黑体"/>
          <w:color w:val="000000" w:themeColor="text1"/>
          <w:sz w:val="36"/>
          <w:szCs w:val="36"/>
          <w14:textFill>
            <w14:solidFill>
              <w14:schemeClr w14:val="tx1"/>
            </w14:solidFill>
          </w14:textFill>
        </w:rPr>
      </w:pPr>
    </w:p>
    <w:p>
      <w:pPr>
        <w:ind w:left="567" w:leftChars="270"/>
        <w:jc w:val="left"/>
        <w:rPr>
          <w:rFonts w:ascii="Times New Roman" w:hAnsi="Times New Roman" w:eastAsia="黑体"/>
          <w:color w:val="000000" w:themeColor="text1"/>
          <w:sz w:val="36"/>
          <w:szCs w:val="36"/>
          <w14:textFill>
            <w14:solidFill>
              <w14:schemeClr w14:val="tx1"/>
            </w14:solidFill>
          </w14:textFill>
        </w:rPr>
      </w:pPr>
      <w:r>
        <w:rPr>
          <w:rFonts w:hint="eastAsia" w:ascii="Times New Roman" w:hAnsi="Times New Roman" w:eastAsia="黑体"/>
          <w:color w:val="000000" w:themeColor="text1"/>
          <w:spacing w:val="36"/>
          <w:sz w:val="36"/>
          <w:szCs w:val="36"/>
          <w:lang w:eastAsia="zh-CN"/>
          <w14:textFill>
            <w14:solidFill>
              <w14:schemeClr w14:val="tx1"/>
            </w14:solidFill>
          </w14:textFill>
        </w:rPr>
        <w:t>编制</w:t>
      </w:r>
      <w:bookmarkStart w:id="183" w:name="_GoBack"/>
      <w:bookmarkEnd w:id="183"/>
      <w:r>
        <w:rPr>
          <w:rFonts w:hint="eastAsia" w:ascii="Times New Roman" w:hAnsi="Times New Roman" w:eastAsia="黑体"/>
          <w:color w:val="000000" w:themeColor="text1"/>
          <w:spacing w:val="36"/>
          <w:sz w:val="36"/>
          <w:szCs w:val="36"/>
          <w14:textFill>
            <w14:solidFill>
              <w14:schemeClr w14:val="tx1"/>
            </w14:solidFill>
          </w14:textFill>
        </w:rPr>
        <w:t>负责人</w:t>
      </w:r>
      <w:r>
        <w:rPr>
          <w:rFonts w:hint="eastAsia" w:ascii="Times New Roman" w:hAnsi="Times New Roman" w:eastAsia="黑体"/>
          <w:color w:val="000000" w:themeColor="text1"/>
          <w:sz w:val="36"/>
          <w:szCs w:val="36"/>
          <w14:textFill>
            <w14:solidFill>
              <w14:schemeClr w14:val="tx1"/>
            </w14:solidFill>
          </w14:textFill>
        </w:rPr>
        <w:t>：周冬梅</w:t>
      </w:r>
    </w:p>
    <w:p>
      <w:pPr>
        <w:ind w:left="567" w:leftChars="270"/>
        <w:jc w:val="left"/>
        <w:rPr>
          <w:rFonts w:ascii="Times New Roman" w:hAnsi="Times New Roman" w:eastAsia="黑体"/>
          <w:color w:val="000000" w:themeColor="text1"/>
          <w:sz w:val="36"/>
          <w:szCs w:val="36"/>
          <w14:textFill>
            <w14:solidFill>
              <w14:schemeClr w14:val="tx1"/>
            </w14:solidFill>
          </w14:textFill>
        </w:rPr>
      </w:pPr>
      <w:r>
        <w:rPr>
          <w:rFonts w:hint="eastAsia" w:ascii="Times New Roman" w:hAnsi="Times New Roman" w:eastAsia="黑体"/>
          <w:color w:val="000000" w:themeColor="text1"/>
          <w:spacing w:val="90"/>
          <w:sz w:val="36"/>
          <w:szCs w:val="36"/>
          <w14:textFill>
            <w14:solidFill>
              <w14:schemeClr w14:val="tx1"/>
            </w14:solidFill>
          </w14:textFill>
        </w:rPr>
        <w:t>编制成员</w:t>
      </w:r>
      <w:r>
        <w:rPr>
          <w:rFonts w:hint="eastAsia" w:ascii="Times New Roman" w:hAnsi="Times New Roman" w:eastAsia="黑体"/>
          <w:color w:val="000000" w:themeColor="text1"/>
          <w:sz w:val="36"/>
          <w:szCs w:val="36"/>
          <w14:textFill>
            <w14:solidFill>
              <w14:schemeClr w14:val="tx1"/>
            </w14:solidFill>
          </w14:textFill>
        </w:rPr>
        <w:t xml:space="preserve">：冯  涛 </w:t>
      </w:r>
      <w:r>
        <w:rPr>
          <w:rFonts w:ascii="Times New Roman" w:hAnsi="Times New Roman" w:eastAsia="黑体"/>
          <w:color w:val="000000" w:themeColor="text1"/>
          <w:sz w:val="36"/>
          <w:szCs w:val="36"/>
          <w14:textFill>
            <w14:solidFill>
              <w14:schemeClr w14:val="tx1"/>
            </w14:solidFill>
          </w14:textFill>
        </w:rPr>
        <w:t xml:space="preserve"> </w:t>
      </w:r>
      <w:r>
        <w:rPr>
          <w:rFonts w:hint="eastAsia" w:ascii="Times New Roman" w:hAnsi="Times New Roman" w:eastAsia="黑体"/>
          <w:color w:val="000000" w:themeColor="text1"/>
          <w:sz w:val="36"/>
          <w:szCs w:val="36"/>
          <w14:textFill>
            <w14:solidFill>
              <w14:schemeClr w14:val="tx1"/>
            </w14:solidFill>
          </w14:textFill>
        </w:rPr>
        <w:t xml:space="preserve">时慧娜  樊褔才  </w:t>
      </w:r>
    </w:p>
    <w:p>
      <w:pPr>
        <w:ind w:left="567" w:leftChars="270" w:firstLine="2520" w:firstLineChars="700"/>
        <w:jc w:val="left"/>
        <w:rPr>
          <w:rFonts w:ascii="Times New Roman" w:hAnsi="Times New Roman" w:eastAsia="黑体"/>
          <w:color w:val="000000" w:themeColor="text1"/>
          <w:sz w:val="36"/>
          <w:szCs w:val="36"/>
          <w14:textFill>
            <w14:solidFill>
              <w14:schemeClr w14:val="tx1"/>
            </w14:solidFill>
          </w14:textFill>
        </w:rPr>
      </w:pPr>
      <w:r>
        <w:rPr>
          <w:rFonts w:hint="eastAsia" w:ascii="Times New Roman" w:hAnsi="Times New Roman" w:eastAsia="黑体"/>
          <w:color w:val="000000" w:themeColor="text1"/>
          <w:sz w:val="36"/>
          <w:szCs w:val="36"/>
          <w14:textFill>
            <w14:solidFill>
              <w14:schemeClr w14:val="tx1"/>
            </w14:solidFill>
          </w14:textFill>
        </w:rPr>
        <w:t xml:space="preserve">孟德友 </w:t>
      </w:r>
      <w:r>
        <w:rPr>
          <w:rFonts w:ascii="Times New Roman" w:hAnsi="Times New Roman" w:eastAsia="黑体"/>
          <w:color w:val="000000" w:themeColor="text1"/>
          <w:sz w:val="36"/>
          <w:szCs w:val="36"/>
          <w14:textFill>
            <w14:solidFill>
              <w14:schemeClr w14:val="tx1"/>
            </w14:solidFill>
          </w14:textFill>
        </w:rPr>
        <w:t xml:space="preserve"> </w:t>
      </w:r>
      <w:r>
        <w:rPr>
          <w:rFonts w:hint="eastAsia" w:ascii="Times New Roman" w:hAnsi="Times New Roman" w:eastAsia="黑体"/>
          <w:color w:val="000000" w:themeColor="text1"/>
          <w:sz w:val="36"/>
          <w:szCs w:val="36"/>
          <w14:textFill>
            <w14:solidFill>
              <w14:schemeClr w14:val="tx1"/>
            </w14:solidFill>
          </w14:textFill>
        </w:rPr>
        <w:t xml:space="preserve">毛齐正  鲁礼新  </w:t>
      </w:r>
    </w:p>
    <w:p>
      <w:pPr>
        <w:ind w:left="567" w:leftChars="270" w:firstLine="2520" w:firstLineChars="700"/>
        <w:jc w:val="left"/>
        <w:rPr>
          <w:rFonts w:ascii="Times New Roman" w:hAnsi="Times New Roman" w:eastAsia="黑体"/>
          <w:color w:val="000000" w:themeColor="text1"/>
          <w:sz w:val="36"/>
          <w:szCs w:val="36"/>
          <w14:textFill>
            <w14:solidFill>
              <w14:schemeClr w14:val="tx1"/>
            </w14:solidFill>
          </w14:textFill>
        </w:rPr>
      </w:pPr>
      <w:r>
        <w:rPr>
          <w:rFonts w:hint="eastAsia" w:ascii="Times New Roman" w:hAnsi="Times New Roman" w:eastAsia="黑体"/>
          <w:color w:val="000000" w:themeColor="text1"/>
          <w:sz w:val="36"/>
          <w:szCs w:val="36"/>
          <w14:textFill>
            <w14:solidFill>
              <w14:schemeClr w14:val="tx1"/>
            </w14:solidFill>
          </w14:textFill>
        </w:rPr>
        <w:t>郑阳阳</w:t>
      </w:r>
    </w:p>
    <w:p>
      <w:pPr>
        <w:jc w:val="center"/>
        <w:rPr>
          <w:rFonts w:ascii="Times New Roman" w:hAnsi="Times New Roman" w:eastAsia="黑体"/>
          <w:color w:val="000000" w:themeColor="text1"/>
          <w:sz w:val="36"/>
          <w:szCs w:val="36"/>
          <w14:textFill>
            <w14:solidFill>
              <w14:schemeClr w14:val="tx1"/>
            </w14:solidFill>
          </w14:textFill>
        </w:rPr>
      </w:pPr>
    </w:p>
    <w:p>
      <w:pPr>
        <w:widowControl/>
        <w:jc w:val="left"/>
        <w:rPr>
          <w:rFonts w:ascii="Times New Roman" w:hAnsi="Times New Roman" w:eastAsia="黑体"/>
          <w:color w:val="000000" w:themeColor="text1"/>
          <w14:textFill>
            <w14:solidFill>
              <w14:schemeClr w14:val="tx1"/>
            </w14:solidFill>
          </w14:textFill>
        </w:rPr>
      </w:pPr>
      <w:r>
        <w:rPr>
          <w:rFonts w:ascii="Times New Roman" w:hAnsi="Times New Roman" w:eastAsia="黑体"/>
          <w:color w:val="000000" w:themeColor="text1"/>
          <w14:textFill>
            <w14:solidFill>
              <w14:schemeClr w14:val="tx1"/>
            </w14:solidFill>
          </w14:textFill>
        </w:rPr>
        <w:br w:type="page"/>
      </w:r>
    </w:p>
    <w:p>
      <w:pPr>
        <w:widowControl/>
        <w:jc w:val="center"/>
        <w:rPr>
          <w:rFonts w:ascii="黑体" w:hAnsi="黑体" w:eastAsia="黑体"/>
          <w:color w:val="000000" w:themeColor="text1"/>
          <w:sz w:val="36"/>
          <w:szCs w:val="36"/>
          <w14:textFill>
            <w14:solidFill>
              <w14:schemeClr w14:val="tx1"/>
            </w14:solidFill>
          </w14:textFill>
        </w:rPr>
        <w:sectPr>
          <w:headerReference r:id="rId3" w:type="default"/>
          <w:headerReference r:id="rId4" w:type="even"/>
          <w:pgSz w:w="11906" w:h="16838"/>
          <w:pgMar w:top="1440" w:right="1800" w:bottom="1440" w:left="1800" w:header="851" w:footer="992" w:gutter="0"/>
          <w:pgNumType w:start="1" w:chapStyle="1"/>
          <w:cols w:space="425" w:num="1"/>
          <w:docGrid w:type="lines" w:linePitch="312" w:charSpace="0"/>
        </w:sectPr>
      </w:pPr>
    </w:p>
    <w:p>
      <w:pPr>
        <w:pStyle w:val="15"/>
        <w:spacing w:after="0" w:line="240" w:lineRule="auto"/>
        <w:rPr>
          <w:rFonts w:ascii="黑体" w:hAnsi="黑体" w:eastAsia="黑体"/>
          <w:color w:val="000000" w:themeColor="text1"/>
          <w:sz w:val="36"/>
          <w:szCs w:val="36"/>
          <w14:textFill>
            <w14:solidFill>
              <w14:schemeClr w14:val="tx1"/>
            </w14:solidFill>
          </w14:textFill>
        </w:rPr>
      </w:pPr>
      <w:r>
        <w:rPr>
          <w:rFonts w:hint="eastAsia" w:ascii="黑体" w:hAnsi="黑体" w:eastAsia="黑体"/>
          <w:color w:val="000000" w:themeColor="text1"/>
          <w:sz w:val="36"/>
          <w:szCs w:val="36"/>
          <w14:textFill>
            <w14:solidFill>
              <w14:schemeClr w14:val="tx1"/>
            </w14:solidFill>
          </w14:textFill>
        </w:rPr>
        <w:t>目  录</w:t>
      </w:r>
    </w:p>
    <w:p>
      <w:pPr>
        <w:pStyle w:val="15"/>
        <w:rPr>
          <w:rFonts w:asciiTheme="minorHAnsi" w:hAnsiTheme="minorHAnsi" w:eastAsiaTheme="minorEastAsia" w:cstheme="minorBidi"/>
          <w:kern w:val="2"/>
          <w:sz w:val="21"/>
        </w:rPr>
      </w:pPr>
      <w:r>
        <w:rPr>
          <w:rFonts w:ascii="仿宋_GB2312" w:hAnsi="华文仿宋" w:eastAsia="仿宋_GB2312"/>
          <w:color w:val="000000" w:themeColor="text1"/>
          <w:sz w:val="32"/>
          <w:szCs w:val="32"/>
          <w14:textFill>
            <w14:solidFill>
              <w14:schemeClr w14:val="tx1"/>
            </w14:solidFill>
          </w14:textFill>
        </w:rPr>
        <w:fldChar w:fldCharType="begin"/>
      </w:r>
      <w:r>
        <w:rPr>
          <w:rFonts w:ascii="仿宋_GB2312" w:hAnsi="华文仿宋" w:eastAsia="仿宋_GB2312"/>
          <w:color w:val="000000" w:themeColor="text1"/>
          <w:sz w:val="32"/>
          <w:szCs w:val="32"/>
          <w14:textFill>
            <w14:solidFill>
              <w14:schemeClr w14:val="tx1"/>
            </w14:solidFill>
          </w14:textFill>
        </w:rPr>
        <w:instrText xml:space="preserve"> TOC \o "1-3" \h \z \u </w:instrText>
      </w:r>
      <w:r>
        <w:rPr>
          <w:rFonts w:ascii="仿宋_GB2312" w:hAnsi="华文仿宋" w:eastAsia="仿宋_GB2312"/>
          <w:color w:val="000000" w:themeColor="text1"/>
          <w:sz w:val="32"/>
          <w:szCs w:val="32"/>
          <w14:textFill>
            <w14:solidFill>
              <w14:schemeClr w14:val="tx1"/>
            </w14:solidFill>
          </w14:textFill>
        </w:rPr>
        <w:fldChar w:fldCharType="separate"/>
      </w:r>
      <w:r>
        <w:fldChar w:fldCharType="begin"/>
      </w:r>
      <w:r>
        <w:instrText xml:space="preserve"> HYPERLINK \l "_Toc71192343" </w:instrText>
      </w:r>
      <w:r>
        <w:fldChar w:fldCharType="separate"/>
      </w:r>
      <w:r>
        <w:rPr>
          <w:rStyle w:val="23"/>
          <w:rFonts w:ascii="Times New Roman" w:hAnsi="Times New Roman" w:eastAsia="黑体"/>
        </w:rPr>
        <w:t>序  言</w:t>
      </w:r>
      <w:r>
        <w:tab/>
      </w:r>
      <w:r>
        <w:fldChar w:fldCharType="begin"/>
      </w:r>
      <w:r>
        <w:instrText xml:space="preserve"> PAGEREF _Toc71192343 \h </w:instrText>
      </w:r>
      <w:r>
        <w:fldChar w:fldCharType="separate"/>
      </w:r>
      <w:r>
        <w:t>1</w:t>
      </w:r>
      <w:r>
        <w:fldChar w:fldCharType="end"/>
      </w:r>
      <w:r>
        <w:fldChar w:fldCharType="end"/>
      </w:r>
    </w:p>
    <w:p>
      <w:pPr>
        <w:pStyle w:val="15"/>
        <w:rPr>
          <w:rFonts w:asciiTheme="minorHAnsi" w:hAnsiTheme="minorHAnsi" w:eastAsiaTheme="minorEastAsia" w:cstheme="minorBidi"/>
          <w:kern w:val="2"/>
          <w:sz w:val="21"/>
        </w:rPr>
      </w:pPr>
      <w:r>
        <w:fldChar w:fldCharType="begin"/>
      </w:r>
      <w:r>
        <w:instrText xml:space="preserve"> HYPERLINK \l "_Toc71192344" </w:instrText>
      </w:r>
      <w:r>
        <w:fldChar w:fldCharType="separate"/>
      </w:r>
      <w:r>
        <w:rPr>
          <w:rStyle w:val="23"/>
          <w:rFonts w:ascii="Times New Roman" w:hAnsi="Times New Roman" w:eastAsia="黑体"/>
        </w:rPr>
        <w:t>第一章 开启全面建设社会主义现代化民权新征程</w:t>
      </w:r>
      <w:r>
        <w:tab/>
      </w:r>
      <w:r>
        <w:fldChar w:fldCharType="begin"/>
      </w:r>
      <w:r>
        <w:instrText xml:space="preserve"> PAGEREF _Toc71192344 \h </w:instrText>
      </w:r>
      <w:r>
        <w:fldChar w:fldCharType="separate"/>
      </w:r>
      <w:r>
        <w:t>2</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"_Toc71192345" </w:instrText>
      </w:r>
      <w:r>
        <w:fldChar w:fldCharType="separate"/>
      </w:r>
      <w:r>
        <w:rPr>
          <w:rStyle w:val="23"/>
          <w:rFonts w:ascii="Times New Roman" w:hAnsi="Times New Roman" w:eastAsia="楷体"/>
        </w:rPr>
        <w:t>第一节 决胜全面建成小康社会取得决定性成就</w:t>
      </w:r>
      <w:r>
        <w:tab/>
      </w:r>
      <w:r>
        <w:fldChar w:fldCharType="begin"/>
      </w:r>
      <w:r>
        <w:instrText xml:space="preserve"> PAGEREF _Toc71192345 \h </w:instrText>
      </w:r>
      <w:r>
        <w:fldChar w:fldCharType="separate"/>
      </w:r>
      <w:r>
        <w:t>2</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"_Toc71192346" </w:instrText>
      </w:r>
      <w:r>
        <w:fldChar w:fldCharType="separate"/>
      </w:r>
      <w:r>
        <w:rPr>
          <w:rStyle w:val="23"/>
          <w:rFonts w:ascii="Times New Roman" w:hAnsi="Times New Roman" w:eastAsia="楷体"/>
        </w:rPr>
        <w:t>第二节 新发展阶段面临的新形势</w:t>
      </w:r>
      <w:r>
        <w:tab/>
      </w:r>
      <w:r>
        <w:fldChar w:fldCharType="begin"/>
      </w:r>
      <w:r>
        <w:instrText xml:space="preserve"> PAGEREF _Toc71192346 \h </w:instrText>
      </w:r>
      <w:r>
        <w:fldChar w:fldCharType="separate"/>
      </w:r>
      <w:r>
        <w:t>8</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"_Toc71192347" </w:instrText>
      </w:r>
      <w:r>
        <w:fldChar w:fldCharType="separate"/>
      </w:r>
      <w:r>
        <w:rPr>
          <w:rStyle w:val="23"/>
          <w:rFonts w:ascii="Times New Roman" w:hAnsi="Times New Roman" w:eastAsia="楷体"/>
        </w:rPr>
        <w:t>第三节 指导思想</w:t>
      </w:r>
      <w:r>
        <w:tab/>
      </w:r>
      <w:r>
        <w:fldChar w:fldCharType="begin"/>
      </w:r>
      <w:r>
        <w:instrText xml:space="preserve"> PAGEREF _Toc71192347 \h </w:instrText>
      </w:r>
      <w:r>
        <w:fldChar w:fldCharType="separate"/>
      </w:r>
      <w:r>
        <w:t>11</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"_Toc71192348" </w:instrText>
      </w:r>
      <w:r>
        <w:fldChar w:fldCharType="separate"/>
      </w:r>
      <w:r>
        <w:rPr>
          <w:rStyle w:val="23"/>
          <w:rFonts w:ascii="Times New Roman" w:hAnsi="Times New Roman" w:eastAsia="楷体"/>
        </w:rPr>
        <w:t>第四节 基本原则</w:t>
      </w:r>
      <w:r>
        <w:tab/>
      </w:r>
      <w:r>
        <w:fldChar w:fldCharType="begin"/>
      </w:r>
      <w:r>
        <w:instrText xml:space="preserve"> PAGEREF _Toc71192348 \h </w:instrText>
      </w:r>
      <w:r>
        <w:fldChar w:fldCharType="separate"/>
      </w:r>
      <w:r>
        <w:t>12</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"_Toc71192349" </w:instrText>
      </w:r>
      <w:r>
        <w:fldChar w:fldCharType="separate"/>
      </w:r>
      <w:r>
        <w:rPr>
          <w:rStyle w:val="23"/>
          <w:rFonts w:ascii="Times New Roman" w:hAnsi="Times New Roman" w:eastAsia="楷体"/>
        </w:rPr>
        <w:t>第五节 定位与目标</w:t>
      </w:r>
      <w:r>
        <w:tab/>
      </w:r>
      <w:r>
        <w:fldChar w:fldCharType="begin"/>
      </w:r>
      <w:r>
        <w:instrText xml:space="preserve"> PAGEREF _Toc71192349 \h </w:instrText>
      </w:r>
      <w:r>
        <w:fldChar w:fldCharType="separate"/>
      </w:r>
      <w:r>
        <w:t>13</w:t>
      </w:r>
      <w:r>
        <w:fldChar w:fldCharType="end"/>
      </w:r>
      <w:r>
        <w:fldChar w:fldCharType="end"/>
      </w:r>
    </w:p>
    <w:p>
      <w:pPr>
        <w:pStyle w:val="15"/>
        <w:rPr>
          <w:rFonts w:asciiTheme="minorHAnsi" w:hAnsiTheme="minorHAnsi" w:eastAsiaTheme="minorEastAsia" w:cstheme="minorBidi"/>
          <w:kern w:val="2"/>
          <w:sz w:val="21"/>
        </w:rPr>
      </w:pPr>
      <w:r>
        <w:fldChar w:fldCharType="begin"/>
      </w:r>
      <w:r>
        <w:instrText xml:space="preserve"> HYPERLINK \l "_Toc71192350" </w:instrText>
      </w:r>
      <w:r>
        <w:fldChar w:fldCharType="separate"/>
      </w:r>
      <w:r>
        <w:rPr>
          <w:rStyle w:val="23"/>
          <w:rFonts w:ascii="Times New Roman" w:hAnsi="Times New Roman" w:eastAsia="黑体"/>
        </w:rPr>
        <w:t>第二章 推动撤县设市，打造商丘西部区域性中心城市</w:t>
      </w:r>
      <w:r>
        <w:tab/>
      </w:r>
      <w:r>
        <w:fldChar w:fldCharType="begin"/>
      </w:r>
      <w:r>
        <w:instrText xml:space="preserve"> PAGEREF _Toc71192350 \h </w:instrText>
      </w:r>
      <w:r>
        <w:fldChar w:fldCharType="separate"/>
      </w:r>
      <w:r>
        <w:t>18</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"_Toc71192351" </w:instrText>
      </w:r>
      <w:r>
        <w:fldChar w:fldCharType="separate"/>
      </w:r>
      <w:r>
        <w:rPr>
          <w:rStyle w:val="23"/>
          <w:rFonts w:ascii="Times New Roman" w:hAnsi="Times New Roman" w:eastAsia="楷体"/>
        </w:rPr>
        <w:t>第一节 全力推进撤县设市</w:t>
      </w:r>
      <w:r>
        <w:tab/>
      </w:r>
      <w:r>
        <w:fldChar w:fldCharType="begin"/>
      </w:r>
      <w:r>
        <w:instrText xml:space="preserve"> PAGEREF _Toc71192351 \h </w:instrText>
      </w:r>
      <w:r>
        <w:fldChar w:fldCharType="separate"/>
      </w:r>
      <w:r>
        <w:t>18</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"_Toc71192352" </w:instrText>
      </w:r>
      <w:r>
        <w:fldChar w:fldCharType="separate"/>
      </w:r>
      <w:r>
        <w:rPr>
          <w:rStyle w:val="23"/>
          <w:rFonts w:ascii="Times New Roman" w:hAnsi="Times New Roman" w:eastAsia="楷体"/>
        </w:rPr>
        <w:t>第二节 打造商丘西部区域性中心城市</w:t>
      </w:r>
      <w:r>
        <w:tab/>
      </w:r>
      <w:r>
        <w:fldChar w:fldCharType="begin"/>
      </w:r>
      <w:r>
        <w:instrText xml:space="preserve"> PAGEREF _Toc71192352 \h </w:instrText>
      </w:r>
      <w:r>
        <w:fldChar w:fldCharType="separate"/>
      </w:r>
      <w:r>
        <w:t>19</w:t>
      </w:r>
      <w:r>
        <w:fldChar w:fldCharType="end"/>
      </w:r>
      <w:r>
        <w:fldChar w:fldCharType="end"/>
      </w:r>
    </w:p>
    <w:p>
      <w:pPr>
        <w:pStyle w:val="15"/>
        <w:rPr>
          <w:rFonts w:asciiTheme="minorHAnsi" w:hAnsiTheme="minorHAnsi" w:eastAsiaTheme="minorEastAsia" w:cstheme="minorBidi"/>
          <w:kern w:val="2"/>
          <w:sz w:val="21"/>
        </w:rPr>
      </w:pPr>
      <w:r>
        <w:fldChar w:fldCharType="begin"/>
      </w:r>
      <w:r>
        <w:instrText xml:space="preserve"> HYPERLINK \l "_Toc71192353" </w:instrText>
      </w:r>
      <w:r>
        <w:fldChar w:fldCharType="separate"/>
      </w:r>
      <w:r>
        <w:rPr>
          <w:rStyle w:val="23"/>
          <w:rFonts w:ascii="Times New Roman" w:hAnsi="Times New Roman" w:eastAsia="黑体"/>
        </w:rPr>
        <w:t>第三章 完善产业体系，建设高质量新型制冷装备城</w:t>
      </w:r>
      <w:r>
        <w:tab/>
      </w:r>
      <w:r>
        <w:fldChar w:fldCharType="begin"/>
      </w:r>
      <w:r>
        <w:instrText xml:space="preserve"> PAGEREF _Toc71192353 \h </w:instrText>
      </w:r>
      <w:r>
        <w:fldChar w:fldCharType="separate"/>
      </w:r>
      <w:r>
        <w:t>22</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"_Toc71192354" </w:instrText>
      </w:r>
      <w:r>
        <w:fldChar w:fldCharType="separate"/>
      </w:r>
      <w:r>
        <w:rPr>
          <w:rStyle w:val="23"/>
          <w:rFonts w:ascii="Times New Roman" w:hAnsi="Times New Roman" w:eastAsia="楷体"/>
        </w:rPr>
        <w:t>第一节 打造高新区百亿级产业集群</w:t>
      </w:r>
      <w:r>
        <w:tab/>
      </w:r>
      <w:r>
        <w:fldChar w:fldCharType="begin"/>
      </w:r>
      <w:r>
        <w:instrText xml:space="preserve"> PAGEREF _Toc71192354 \h </w:instrText>
      </w:r>
      <w:r>
        <w:fldChar w:fldCharType="separate"/>
      </w:r>
      <w:r>
        <w:t>22</w:t>
      </w:r>
      <w:r>
        <w:fldChar w:fldCharType="end"/>
      </w:r>
      <w:r>
        <w:fldChar w:fldCharType="end"/>
      </w:r>
    </w:p>
    <w:p>
      <w:pPr>
        <w:pStyle w:val="9"/>
        <w:tabs>
          <w:tab w:val="right" w:leader="dot" w:pos="8296"/>
        </w:tabs>
        <w:rPr>
          <w:rFonts w:asciiTheme="minorHAnsi" w:hAnsiTheme="minorHAnsi" w:eastAsiaTheme="minorEastAsia" w:cstheme="minorBidi"/>
          <w:kern w:val="2"/>
          <w:sz w:val="21"/>
        </w:rPr>
      </w:pPr>
      <w:r>
        <w:fldChar w:fldCharType="begin"/>
      </w:r>
      <w:r>
        <w:instrText xml:space="preserve"> HYPERLINK \l "_Toc71192355" </w:instrText>
      </w:r>
      <w:r>
        <w:fldChar w:fldCharType="separate"/>
      </w:r>
      <w:r>
        <w:rPr>
          <w:rStyle w:val="23"/>
          <w:rFonts w:ascii="Times New Roman" w:hAnsi="Times New Roman" w:eastAsia="楷体"/>
        </w:rPr>
        <w:t>（一）强化新型制冷装备制造集群优势</w:t>
      </w:r>
      <w:r>
        <w:tab/>
      </w:r>
      <w:r>
        <w:fldChar w:fldCharType="begin"/>
      </w:r>
      <w:r>
        <w:instrText xml:space="preserve"> PAGEREF _Toc71192355 \h </w:instrText>
      </w:r>
      <w:r>
        <w:fldChar w:fldCharType="separate"/>
      </w:r>
      <w:r>
        <w:t>22</w:t>
      </w:r>
      <w:r>
        <w:fldChar w:fldCharType="end"/>
      </w:r>
      <w:r>
        <w:fldChar w:fldCharType="end"/>
      </w:r>
    </w:p>
    <w:p>
      <w:pPr>
        <w:pStyle w:val="9"/>
        <w:tabs>
          <w:tab w:val="right" w:leader="dot" w:pos="8296"/>
        </w:tabs>
        <w:rPr>
          <w:rFonts w:asciiTheme="minorHAnsi" w:hAnsiTheme="minorHAnsi" w:eastAsiaTheme="minorEastAsia" w:cstheme="minorBidi"/>
          <w:kern w:val="2"/>
          <w:sz w:val="21"/>
        </w:rPr>
      </w:pPr>
      <w:r>
        <w:fldChar w:fldCharType="begin"/>
      </w:r>
      <w:r>
        <w:instrText xml:space="preserve"> HYPERLINK \l "_Toc71192356" </w:instrText>
      </w:r>
      <w:r>
        <w:fldChar w:fldCharType="separate"/>
      </w:r>
      <w:r>
        <w:rPr>
          <w:rStyle w:val="23"/>
          <w:rFonts w:ascii="Times New Roman" w:hAnsi="Times New Roman" w:eastAsia="楷体"/>
        </w:rPr>
        <w:t>（二）做优以葡萄酒为主的绿色食品加工业</w:t>
      </w:r>
      <w:r>
        <w:tab/>
      </w:r>
      <w:r>
        <w:fldChar w:fldCharType="begin"/>
      </w:r>
      <w:r>
        <w:instrText xml:space="preserve"> PAGEREF _Toc71192356 \h </w:instrText>
      </w:r>
      <w:r>
        <w:fldChar w:fldCharType="separate"/>
      </w:r>
      <w:r>
        <w:t>24</w:t>
      </w:r>
      <w:r>
        <w:fldChar w:fldCharType="end"/>
      </w:r>
      <w:r>
        <w:fldChar w:fldCharType="end"/>
      </w:r>
    </w:p>
    <w:p>
      <w:pPr>
        <w:pStyle w:val="9"/>
        <w:tabs>
          <w:tab w:val="right" w:leader="dot" w:pos="8296"/>
        </w:tabs>
        <w:rPr>
          <w:rFonts w:asciiTheme="minorHAnsi" w:hAnsiTheme="minorHAnsi" w:eastAsiaTheme="minorEastAsia" w:cstheme="minorBidi"/>
          <w:kern w:val="2"/>
          <w:sz w:val="21"/>
        </w:rPr>
      </w:pPr>
      <w:r>
        <w:fldChar w:fldCharType="begin"/>
      </w:r>
      <w:r>
        <w:instrText xml:space="preserve"> HYPERLINK \l "_Toc71192357" </w:instrText>
      </w:r>
      <w:r>
        <w:fldChar w:fldCharType="separate"/>
      </w:r>
      <w:r>
        <w:rPr>
          <w:rStyle w:val="23"/>
          <w:rFonts w:ascii="Times New Roman" w:hAnsi="Times New Roman" w:eastAsia="楷体"/>
        </w:rPr>
        <w:t>（三）培育壮大先进新兴制造业</w:t>
      </w:r>
      <w:r>
        <w:tab/>
      </w:r>
      <w:r>
        <w:fldChar w:fldCharType="begin"/>
      </w:r>
      <w:r>
        <w:instrText xml:space="preserve"> PAGEREF _Toc71192357 \h </w:instrText>
      </w:r>
      <w:r>
        <w:fldChar w:fldCharType="separate"/>
      </w:r>
      <w:r>
        <w:t>26</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"_Toc71192358" </w:instrText>
      </w:r>
      <w:r>
        <w:fldChar w:fldCharType="separate"/>
      </w:r>
      <w:r>
        <w:rPr>
          <w:rStyle w:val="23"/>
          <w:rFonts w:ascii="Times New Roman" w:hAnsi="Times New Roman" w:eastAsia="楷体"/>
        </w:rPr>
        <w:t>第二节 高标准建设四个产业园</w:t>
      </w:r>
      <w:r>
        <w:tab/>
      </w:r>
      <w:r>
        <w:fldChar w:fldCharType="begin"/>
      </w:r>
      <w:r>
        <w:instrText xml:space="preserve"> PAGEREF _Toc71192358 \h </w:instrText>
      </w:r>
      <w:r>
        <w:fldChar w:fldCharType="separate"/>
      </w:r>
      <w:r>
        <w:t>28</w:t>
      </w:r>
      <w:r>
        <w:fldChar w:fldCharType="end"/>
      </w:r>
      <w:r>
        <w:fldChar w:fldCharType="end"/>
      </w:r>
    </w:p>
    <w:p>
      <w:pPr>
        <w:pStyle w:val="9"/>
        <w:tabs>
          <w:tab w:val="right" w:leader="dot" w:pos="8296"/>
        </w:tabs>
        <w:rPr>
          <w:rFonts w:asciiTheme="minorHAnsi" w:hAnsiTheme="minorHAnsi" w:eastAsiaTheme="minorEastAsia" w:cstheme="minorBidi"/>
          <w:kern w:val="2"/>
          <w:sz w:val="21"/>
        </w:rPr>
      </w:pPr>
      <w:r>
        <w:fldChar w:fldCharType="begin"/>
      </w:r>
      <w:r>
        <w:instrText xml:space="preserve"> HYPERLINK \l "_Toc71192359" </w:instrText>
      </w:r>
      <w:r>
        <w:fldChar w:fldCharType="separate"/>
      </w:r>
      <w:r>
        <w:rPr>
          <w:rStyle w:val="23"/>
          <w:rFonts w:ascii="Times New Roman" w:hAnsi="Times New Roman" w:eastAsia="楷体"/>
        </w:rPr>
        <w:t>（一）依托民权电厂，发展循环经济产业园</w:t>
      </w:r>
      <w:r>
        <w:tab/>
      </w:r>
      <w:r>
        <w:fldChar w:fldCharType="begin"/>
      </w:r>
      <w:r>
        <w:instrText xml:space="preserve"> PAGEREF _Toc71192359 \h </w:instrText>
      </w:r>
      <w:r>
        <w:fldChar w:fldCharType="separate"/>
      </w:r>
      <w:r>
        <w:t>28</w:t>
      </w:r>
      <w:r>
        <w:fldChar w:fldCharType="end"/>
      </w:r>
      <w:r>
        <w:fldChar w:fldCharType="end"/>
      </w:r>
    </w:p>
    <w:p>
      <w:pPr>
        <w:pStyle w:val="9"/>
        <w:tabs>
          <w:tab w:val="right" w:leader="dot" w:pos="8296"/>
        </w:tabs>
        <w:rPr>
          <w:rFonts w:asciiTheme="minorHAnsi" w:hAnsiTheme="minorHAnsi" w:eastAsiaTheme="minorEastAsia" w:cstheme="minorBidi"/>
          <w:kern w:val="2"/>
          <w:sz w:val="21"/>
        </w:rPr>
      </w:pPr>
      <w:r>
        <w:fldChar w:fldCharType="begin"/>
      </w:r>
      <w:r>
        <w:instrText xml:space="preserve"> HYPERLINK \l "_Toc71192360" </w:instrText>
      </w:r>
      <w:r>
        <w:fldChar w:fldCharType="separate"/>
      </w:r>
      <w:r>
        <w:rPr>
          <w:rStyle w:val="23"/>
          <w:rFonts w:ascii="Times New Roman" w:hAnsi="Times New Roman" w:eastAsia="楷体"/>
        </w:rPr>
        <w:t>（二）依托通航机场，建设通航产业园</w:t>
      </w:r>
      <w:r>
        <w:tab/>
      </w:r>
      <w:r>
        <w:fldChar w:fldCharType="begin"/>
      </w:r>
      <w:r>
        <w:instrText xml:space="preserve"> PAGEREF _Toc71192360 \h </w:instrText>
      </w:r>
      <w:r>
        <w:fldChar w:fldCharType="separate"/>
      </w:r>
      <w:r>
        <w:t>29</w:t>
      </w:r>
      <w:r>
        <w:fldChar w:fldCharType="end"/>
      </w:r>
      <w:r>
        <w:fldChar w:fldCharType="end"/>
      </w:r>
    </w:p>
    <w:p>
      <w:pPr>
        <w:pStyle w:val="9"/>
        <w:tabs>
          <w:tab w:val="right" w:leader="dot" w:pos="8296"/>
        </w:tabs>
        <w:rPr>
          <w:rFonts w:asciiTheme="minorHAnsi" w:hAnsiTheme="minorHAnsi" w:eastAsiaTheme="minorEastAsia" w:cstheme="minorBidi"/>
          <w:kern w:val="2"/>
          <w:sz w:val="21"/>
        </w:rPr>
      </w:pPr>
      <w:r>
        <w:fldChar w:fldCharType="begin"/>
      </w:r>
      <w:r>
        <w:instrText xml:space="preserve"> HYPERLINK \l "_Toc71192361" </w:instrText>
      </w:r>
      <w:r>
        <w:fldChar w:fldCharType="separate"/>
      </w:r>
      <w:r>
        <w:rPr>
          <w:rStyle w:val="23"/>
          <w:rFonts w:ascii="Times New Roman" w:hAnsi="Times New Roman" w:eastAsia="楷体"/>
        </w:rPr>
        <w:t>（三）依托保税物流中心，建设综合保税物流园</w:t>
      </w:r>
      <w:r>
        <w:tab/>
      </w:r>
      <w:r>
        <w:fldChar w:fldCharType="begin"/>
      </w:r>
      <w:r>
        <w:instrText xml:space="preserve"> PAGEREF _Toc71192361 \h </w:instrText>
      </w:r>
      <w:r>
        <w:fldChar w:fldCharType="separate"/>
      </w:r>
      <w:r>
        <w:t>30</w:t>
      </w:r>
      <w:r>
        <w:fldChar w:fldCharType="end"/>
      </w:r>
      <w:r>
        <w:fldChar w:fldCharType="end"/>
      </w:r>
    </w:p>
    <w:p>
      <w:pPr>
        <w:pStyle w:val="9"/>
        <w:tabs>
          <w:tab w:val="right" w:leader="dot" w:pos="8296"/>
        </w:tabs>
        <w:rPr>
          <w:rFonts w:asciiTheme="minorHAnsi" w:hAnsiTheme="minorHAnsi" w:eastAsiaTheme="minorEastAsia" w:cstheme="minorBidi"/>
          <w:kern w:val="2"/>
          <w:sz w:val="21"/>
        </w:rPr>
      </w:pPr>
      <w:r>
        <w:fldChar w:fldCharType="begin"/>
      </w:r>
      <w:r>
        <w:instrText xml:space="preserve"> HYPERLINK \l "_Toc71192362" </w:instrText>
      </w:r>
      <w:r>
        <w:fldChar w:fldCharType="separate"/>
      </w:r>
      <w:r>
        <w:rPr>
          <w:rStyle w:val="23"/>
          <w:rFonts w:ascii="Times New Roman" w:hAnsi="Times New Roman" w:eastAsia="楷体"/>
        </w:rPr>
        <w:t>（四）加快建设静脉产业园</w:t>
      </w:r>
      <w:r>
        <w:tab/>
      </w:r>
      <w:r>
        <w:fldChar w:fldCharType="begin"/>
      </w:r>
      <w:r>
        <w:instrText xml:space="preserve"> PAGEREF _Toc71192362 \h </w:instrText>
      </w:r>
      <w:r>
        <w:fldChar w:fldCharType="separate"/>
      </w:r>
      <w:r>
        <w:t>32</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"_Toc71192363" </w:instrText>
      </w:r>
      <w:r>
        <w:fldChar w:fldCharType="separate"/>
      </w:r>
      <w:r>
        <w:rPr>
          <w:rStyle w:val="23"/>
          <w:rFonts w:ascii="Times New Roman" w:hAnsi="Times New Roman" w:eastAsia="楷体"/>
        </w:rPr>
        <w:t>第三节 加快商务服务产业园建设</w:t>
      </w:r>
      <w:r>
        <w:tab/>
      </w:r>
      <w:r>
        <w:fldChar w:fldCharType="begin"/>
      </w:r>
      <w:r>
        <w:instrText xml:space="preserve"> PAGEREF _Toc71192363 \h </w:instrText>
      </w:r>
      <w:r>
        <w:fldChar w:fldCharType="separate"/>
      </w:r>
      <w:r>
        <w:t>33</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"_Toc71192364" </w:instrText>
      </w:r>
      <w:r>
        <w:fldChar w:fldCharType="separate"/>
      </w:r>
      <w:r>
        <w:rPr>
          <w:rStyle w:val="23"/>
          <w:rFonts w:ascii="Times New Roman" w:hAnsi="Times New Roman" w:eastAsia="楷体"/>
        </w:rPr>
        <w:t>第四节 实施工业企业升级培育工程</w:t>
      </w:r>
      <w:r>
        <w:tab/>
      </w:r>
      <w:r>
        <w:fldChar w:fldCharType="begin"/>
      </w:r>
      <w:r>
        <w:instrText xml:space="preserve"> PAGEREF _Toc71192364 \h </w:instrText>
      </w:r>
      <w:r>
        <w:fldChar w:fldCharType="separate"/>
      </w:r>
      <w:r>
        <w:t>35</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"_Toc71192365" </w:instrText>
      </w:r>
      <w:r>
        <w:fldChar w:fldCharType="separate"/>
      </w:r>
      <w:r>
        <w:rPr>
          <w:rStyle w:val="23"/>
          <w:rFonts w:ascii="Times New Roman" w:hAnsi="Times New Roman" w:eastAsia="楷体"/>
        </w:rPr>
        <w:t>第五节 改善服务业供给质量</w:t>
      </w:r>
      <w:r>
        <w:tab/>
      </w:r>
      <w:r>
        <w:fldChar w:fldCharType="begin"/>
      </w:r>
      <w:r>
        <w:instrText xml:space="preserve"> PAGEREF _Toc71192365 \h </w:instrText>
      </w:r>
      <w:r>
        <w:fldChar w:fldCharType="separate"/>
      </w:r>
      <w:r>
        <w:t>37</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"_Toc71192366" </w:instrText>
      </w:r>
      <w:r>
        <w:fldChar w:fldCharType="separate"/>
      </w:r>
      <w:r>
        <w:rPr>
          <w:rStyle w:val="23"/>
          <w:rFonts w:ascii="Times New Roman" w:hAnsi="Times New Roman" w:eastAsia="楷体"/>
        </w:rPr>
        <w:t>第六节 加快数字化发展，建设智慧民权</w:t>
      </w:r>
      <w:r>
        <w:tab/>
      </w:r>
      <w:r>
        <w:fldChar w:fldCharType="begin"/>
      </w:r>
      <w:r>
        <w:instrText xml:space="preserve"> PAGEREF _Toc71192366 \h </w:instrText>
      </w:r>
      <w:r>
        <w:fldChar w:fldCharType="separate"/>
      </w:r>
      <w:r>
        <w:t>40</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"_Toc71192367" </w:instrText>
      </w:r>
      <w:r>
        <w:fldChar w:fldCharType="separate"/>
      </w:r>
      <w:r>
        <w:rPr>
          <w:rStyle w:val="23"/>
          <w:rFonts w:ascii="Times New Roman" w:hAnsi="Times New Roman" w:eastAsia="楷体"/>
        </w:rPr>
        <w:t>第七节 优化产业空间布局</w:t>
      </w:r>
      <w:r>
        <w:tab/>
      </w:r>
      <w:r>
        <w:fldChar w:fldCharType="begin"/>
      </w:r>
      <w:r>
        <w:instrText xml:space="preserve"> PAGEREF _Toc71192367 \h </w:instrText>
      </w:r>
      <w:r>
        <w:fldChar w:fldCharType="separate"/>
      </w:r>
      <w:r>
        <w:t>42</w:t>
      </w:r>
      <w:r>
        <w:fldChar w:fldCharType="end"/>
      </w:r>
      <w:r>
        <w:fldChar w:fldCharType="end"/>
      </w:r>
    </w:p>
    <w:p>
      <w:pPr>
        <w:pStyle w:val="9"/>
        <w:tabs>
          <w:tab w:val="right" w:leader="dot" w:pos="8296"/>
        </w:tabs>
        <w:rPr>
          <w:rFonts w:asciiTheme="minorHAnsi" w:hAnsiTheme="minorHAnsi" w:eastAsiaTheme="minorEastAsia" w:cstheme="minorBidi"/>
          <w:kern w:val="2"/>
          <w:sz w:val="21"/>
        </w:rPr>
      </w:pPr>
      <w:r>
        <w:fldChar w:fldCharType="begin"/>
      </w:r>
      <w:r>
        <w:instrText xml:space="preserve"> HYPERLINK \l "_Toc71192368" </w:instrText>
      </w:r>
      <w:r>
        <w:fldChar w:fldCharType="separate"/>
      </w:r>
      <w:r>
        <w:rPr>
          <w:rStyle w:val="23"/>
          <w:rFonts w:ascii="Times New Roman" w:hAnsi="Times New Roman" w:eastAsia="楷体"/>
        </w:rPr>
        <w:t>（一）促进各产业合理布局</w:t>
      </w:r>
      <w:r>
        <w:tab/>
      </w:r>
      <w:r>
        <w:fldChar w:fldCharType="begin"/>
      </w:r>
      <w:r>
        <w:instrText xml:space="preserve"> PAGEREF _Toc71192368 \h </w:instrText>
      </w:r>
      <w:r>
        <w:fldChar w:fldCharType="separate"/>
      </w:r>
      <w:r>
        <w:t>42</w:t>
      </w:r>
      <w:r>
        <w:fldChar w:fldCharType="end"/>
      </w:r>
      <w:r>
        <w:fldChar w:fldCharType="end"/>
      </w:r>
    </w:p>
    <w:p>
      <w:pPr>
        <w:pStyle w:val="9"/>
        <w:tabs>
          <w:tab w:val="right" w:leader="dot" w:pos="8296"/>
        </w:tabs>
        <w:rPr>
          <w:rFonts w:asciiTheme="minorHAnsi" w:hAnsiTheme="minorHAnsi" w:eastAsiaTheme="minorEastAsia" w:cstheme="minorBidi"/>
          <w:kern w:val="2"/>
          <w:sz w:val="21"/>
        </w:rPr>
      </w:pPr>
      <w:r>
        <w:fldChar w:fldCharType="begin"/>
      </w:r>
      <w:r>
        <w:instrText xml:space="preserve"> HYPERLINK \l "_Toc71192369" </w:instrText>
      </w:r>
      <w:r>
        <w:fldChar w:fldCharType="separate"/>
      </w:r>
      <w:r>
        <w:rPr>
          <w:rStyle w:val="23"/>
          <w:rFonts w:ascii="Times New Roman" w:hAnsi="Times New Roman" w:eastAsia="楷体"/>
        </w:rPr>
        <w:t>（二）建设各具特色工业园</w:t>
      </w:r>
      <w:r>
        <w:tab/>
      </w:r>
      <w:r>
        <w:fldChar w:fldCharType="begin"/>
      </w:r>
      <w:r>
        <w:instrText xml:space="preserve"> PAGEREF _Toc71192369 \h </w:instrText>
      </w:r>
      <w:r>
        <w:fldChar w:fldCharType="separate"/>
      </w:r>
      <w:r>
        <w:t>43</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"_Toc71192370" </w:instrText>
      </w:r>
      <w:r>
        <w:fldChar w:fldCharType="separate"/>
      </w:r>
      <w:r>
        <w:rPr>
          <w:rStyle w:val="23"/>
          <w:rFonts w:ascii="Times New Roman" w:hAnsi="Times New Roman" w:eastAsia="楷体"/>
        </w:rPr>
        <w:t>第八节 加强质量品牌建设</w:t>
      </w:r>
      <w:r>
        <w:tab/>
      </w:r>
      <w:r>
        <w:fldChar w:fldCharType="begin"/>
      </w:r>
      <w:r>
        <w:instrText xml:space="preserve"> PAGEREF _Toc71192370 \h </w:instrText>
      </w:r>
      <w:r>
        <w:fldChar w:fldCharType="separate"/>
      </w:r>
      <w:r>
        <w:t>44</w:t>
      </w:r>
      <w:r>
        <w:fldChar w:fldCharType="end"/>
      </w:r>
      <w:r>
        <w:fldChar w:fldCharType="end"/>
      </w:r>
    </w:p>
    <w:p>
      <w:pPr>
        <w:pStyle w:val="9"/>
        <w:tabs>
          <w:tab w:val="right" w:leader="dot" w:pos="8296"/>
        </w:tabs>
        <w:rPr>
          <w:rFonts w:asciiTheme="minorHAnsi" w:hAnsiTheme="minorHAnsi" w:eastAsiaTheme="minorEastAsia" w:cstheme="minorBidi"/>
          <w:kern w:val="2"/>
          <w:sz w:val="21"/>
        </w:rPr>
      </w:pPr>
      <w:r>
        <w:fldChar w:fldCharType="begin"/>
      </w:r>
      <w:r>
        <w:instrText xml:space="preserve"> HYPERLINK \l "_Toc71192371" </w:instrText>
      </w:r>
      <w:r>
        <w:fldChar w:fldCharType="separate"/>
      </w:r>
      <w:r>
        <w:rPr>
          <w:rStyle w:val="23"/>
          <w:rFonts w:ascii="Times New Roman" w:hAnsi="Times New Roman" w:eastAsia="楷体"/>
        </w:rPr>
        <w:t>（一）实施质量强县战略</w:t>
      </w:r>
      <w:r>
        <w:tab/>
      </w:r>
      <w:r>
        <w:fldChar w:fldCharType="begin"/>
      </w:r>
      <w:r>
        <w:instrText xml:space="preserve"> PAGEREF _Toc71192371 \h </w:instrText>
      </w:r>
      <w:r>
        <w:fldChar w:fldCharType="separate"/>
      </w:r>
      <w:r>
        <w:t>44</w:t>
      </w:r>
      <w:r>
        <w:fldChar w:fldCharType="end"/>
      </w:r>
      <w:r>
        <w:fldChar w:fldCharType="end"/>
      </w:r>
    </w:p>
    <w:p>
      <w:pPr>
        <w:pStyle w:val="9"/>
        <w:tabs>
          <w:tab w:val="right" w:leader="dot" w:pos="8296"/>
        </w:tabs>
        <w:rPr>
          <w:rFonts w:asciiTheme="minorHAnsi" w:hAnsiTheme="minorHAnsi" w:eastAsiaTheme="minorEastAsia" w:cstheme="minorBidi"/>
          <w:kern w:val="2"/>
          <w:sz w:val="21"/>
        </w:rPr>
      </w:pPr>
      <w:r>
        <w:fldChar w:fldCharType="begin"/>
      </w:r>
      <w:r>
        <w:instrText xml:space="preserve"> HYPERLINK \l "_Toc71192372" </w:instrText>
      </w:r>
      <w:r>
        <w:fldChar w:fldCharType="separate"/>
      </w:r>
      <w:r>
        <w:rPr>
          <w:rStyle w:val="23"/>
          <w:rFonts w:ascii="Times New Roman" w:hAnsi="Times New Roman" w:eastAsia="楷体"/>
        </w:rPr>
        <w:t>（二）打造地域品牌高地</w:t>
      </w:r>
      <w:r>
        <w:tab/>
      </w:r>
      <w:r>
        <w:fldChar w:fldCharType="begin"/>
      </w:r>
      <w:r>
        <w:instrText xml:space="preserve"> PAGEREF _Toc71192372 \h </w:instrText>
      </w:r>
      <w:r>
        <w:fldChar w:fldCharType="separate"/>
      </w:r>
      <w:r>
        <w:t>45</w:t>
      </w:r>
      <w:r>
        <w:fldChar w:fldCharType="end"/>
      </w:r>
      <w:r>
        <w:fldChar w:fldCharType="end"/>
      </w:r>
    </w:p>
    <w:p>
      <w:pPr>
        <w:pStyle w:val="15"/>
        <w:rPr>
          <w:rFonts w:asciiTheme="minorHAnsi" w:hAnsiTheme="minorHAnsi" w:eastAsiaTheme="minorEastAsia" w:cstheme="minorBidi"/>
          <w:kern w:val="2"/>
          <w:sz w:val="21"/>
        </w:rPr>
      </w:pPr>
      <w:r>
        <w:fldChar w:fldCharType="begin"/>
      </w:r>
      <w:r>
        <w:instrText xml:space="preserve"> HYPERLINK \l "_Toc71192373" </w:instrText>
      </w:r>
      <w:r>
        <w:fldChar w:fldCharType="separate"/>
      </w:r>
      <w:r>
        <w:rPr>
          <w:rStyle w:val="23"/>
          <w:rFonts w:ascii="Times New Roman" w:hAnsi="Times New Roman" w:eastAsia="黑体"/>
        </w:rPr>
        <w:t>第四章 优先发展农业农村，建设高水平乡村振兴示范城</w:t>
      </w:r>
      <w:r>
        <w:tab/>
      </w:r>
      <w:r>
        <w:fldChar w:fldCharType="begin"/>
      </w:r>
      <w:r>
        <w:instrText xml:space="preserve"> PAGEREF _Toc71192373 \h </w:instrText>
      </w:r>
      <w:r>
        <w:fldChar w:fldCharType="separate"/>
      </w:r>
      <w:r>
        <w:t>47</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"_Toc71192374" </w:instrText>
      </w:r>
      <w:r>
        <w:fldChar w:fldCharType="separate"/>
      </w:r>
      <w:r>
        <w:rPr>
          <w:rStyle w:val="23"/>
          <w:rFonts w:ascii="Times New Roman" w:hAnsi="Times New Roman" w:eastAsia="楷体"/>
        </w:rPr>
        <w:t>第一节 扛牢国家粮食安全重任</w:t>
      </w:r>
      <w:r>
        <w:tab/>
      </w:r>
      <w:r>
        <w:fldChar w:fldCharType="begin"/>
      </w:r>
      <w:r>
        <w:instrText xml:space="preserve"> PAGEREF _Toc71192374 \h </w:instrText>
      </w:r>
      <w:r>
        <w:fldChar w:fldCharType="separate"/>
      </w:r>
      <w:r>
        <w:t>47</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"_Toc71192375" </w:instrText>
      </w:r>
      <w:r>
        <w:fldChar w:fldCharType="separate"/>
      </w:r>
      <w:r>
        <w:rPr>
          <w:rStyle w:val="23"/>
          <w:rFonts w:ascii="Times New Roman" w:hAnsi="Times New Roman" w:eastAsia="楷体"/>
        </w:rPr>
        <w:t>第二节 提高农业质量效益和竞争力</w:t>
      </w:r>
      <w:r>
        <w:tab/>
      </w:r>
      <w:r>
        <w:fldChar w:fldCharType="begin"/>
      </w:r>
      <w:r>
        <w:instrText xml:space="preserve"> PAGEREF _Toc71192375 \h </w:instrText>
      </w:r>
      <w:r>
        <w:fldChar w:fldCharType="separate"/>
      </w:r>
      <w:r>
        <w:t>49</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"_Toc71192376" </w:instrText>
      </w:r>
      <w:r>
        <w:fldChar w:fldCharType="separate"/>
      </w:r>
      <w:r>
        <w:rPr>
          <w:rStyle w:val="23"/>
          <w:rFonts w:ascii="Times New Roman" w:hAnsi="Times New Roman" w:eastAsia="楷体"/>
        </w:rPr>
        <w:t>第三节 实施乡村建设行动</w:t>
      </w:r>
      <w:r>
        <w:tab/>
      </w:r>
      <w:r>
        <w:fldChar w:fldCharType="begin"/>
      </w:r>
      <w:r>
        <w:instrText xml:space="preserve"> PAGEREF _Toc71192376 \h </w:instrText>
      </w:r>
      <w:r>
        <w:fldChar w:fldCharType="separate"/>
      </w:r>
      <w:r>
        <w:t>53</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"_Toc71192377" </w:instrText>
      </w:r>
      <w:r>
        <w:fldChar w:fldCharType="separate"/>
      </w:r>
      <w:r>
        <w:rPr>
          <w:rStyle w:val="23"/>
          <w:rFonts w:ascii="Times New Roman" w:hAnsi="Times New Roman" w:eastAsia="楷体"/>
        </w:rPr>
        <w:t>第四节 激发乡村发展活力</w:t>
      </w:r>
      <w:r>
        <w:tab/>
      </w:r>
      <w:r>
        <w:fldChar w:fldCharType="begin"/>
      </w:r>
      <w:r>
        <w:instrText xml:space="preserve"> PAGEREF _Toc71192377 \h </w:instrText>
      </w:r>
      <w:r>
        <w:fldChar w:fldCharType="separate"/>
      </w:r>
      <w:r>
        <w:t>56</w:t>
      </w:r>
      <w:r>
        <w:fldChar w:fldCharType="end"/>
      </w:r>
      <w:r>
        <w:fldChar w:fldCharType="end"/>
      </w:r>
    </w:p>
    <w:p>
      <w:pPr>
        <w:pStyle w:val="15"/>
        <w:rPr>
          <w:rFonts w:asciiTheme="minorHAnsi" w:hAnsiTheme="minorHAnsi" w:eastAsiaTheme="minorEastAsia" w:cstheme="minorBidi"/>
          <w:kern w:val="2"/>
          <w:sz w:val="21"/>
        </w:rPr>
      </w:pPr>
      <w:r>
        <w:fldChar w:fldCharType="begin"/>
      </w:r>
      <w:r>
        <w:instrText xml:space="preserve"> HYPERLINK \l "_Toc71192378" </w:instrText>
      </w:r>
      <w:r>
        <w:fldChar w:fldCharType="separate"/>
      </w:r>
      <w:r>
        <w:rPr>
          <w:rStyle w:val="23"/>
          <w:rFonts w:ascii="Times New Roman" w:hAnsi="Times New Roman" w:eastAsia="黑体"/>
        </w:rPr>
        <w:t>第五章 坚持绿色发展，建设高标准全域生态文明城</w:t>
      </w:r>
      <w:r>
        <w:tab/>
      </w:r>
      <w:r>
        <w:fldChar w:fldCharType="begin"/>
      </w:r>
      <w:r>
        <w:instrText xml:space="preserve"> PAGEREF _Toc71192378 \h </w:instrText>
      </w:r>
      <w:r>
        <w:fldChar w:fldCharType="separate"/>
      </w:r>
      <w:r>
        <w:t>58</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"_Toc71192379" </w:instrText>
      </w:r>
      <w:r>
        <w:fldChar w:fldCharType="separate"/>
      </w:r>
      <w:r>
        <w:rPr>
          <w:rStyle w:val="23"/>
          <w:rFonts w:ascii="Times New Roman" w:hAnsi="Times New Roman" w:eastAsia="楷体"/>
        </w:rPr>
        <w:t>第一节 打造黄河故道生态走廊</w:t>
      </w:r>
      <w:r>
        <w:tab/>
      </w:r>
      <w:r>
        <w:fldChar w:fldCharType="begin"/>
      </w:r>
      <w:r>
        <w:instrText xml:space="preserve"> PAGEREF _Toc71192379 \h </w:instrText>
      </w:r>
      <w:r>
        <w:fldChar w:fldCharType="separate"/>
      </w:r>
      <w:r>
        <w:t>58</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"_Toc71192380" </w:instrText>
      </w:r>
      <w:r>
        <w:fldChar w:fldCharType="separate"/>
      </w:r>
      <w:r>
        <w:rPr>
          <w:rStyle w:val="23"/>
          <w:rFonts w:ascii="Times New Roman" w:hAnsi="Times New Roman" w:eastAsia="楷体"/>
        </w:rPr>
        <w:t>第二节 推进全域生态保护建设</w:t>
      </w:r>
      <w:r>
        <w:tab/>
      </w:r>
      <w:r>
        <w:fldChar w:fldCharType="begin"/>
      </w:r>
      <w:r>
        <w:instrText xml:space="preserve"> PAGEREF _Toc71192380 \h </w:instrText>
      </w:r>
      <w:r>
        <w:fldChar w:fldCharType="separate"/>
      </w:r>
      <w:r>
        <w:t>60</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"_Toc71192381" </w:instrText>
      </w:r>
      <w:r>
        <w:fldChar w:fldCharType="separate"/>
      </w:r>
      <w:r>
        <w:rPr>
          <w:rStyle w:val="23"/>
          <w:rFonts w:ascii="Times New Roman" w:hAnsi="Times New Roman" w:eastAsia="楷体"/>
        </w:rPr>
        <w:t>第三节 持续改善环境质量</w:t>
      </w:r>
      <w:r>
        <w:tab/>
      </w:r>
      <w:r>
        <w:fldChar w:fldCharType="begin"/>
      </w:r>
      <w:r>
        <w:instrText xml:space="preserve"> PAGEREF _Toc71192381 \h </w:instrText>
      </w:r>
      <w:r>
        <w:fldChar w:fldCharType="separate"/>
      </w:r>
      <w:r>
        <w:t>61</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"_Toc71192382" </w:instrText>
      </w:r>
      <w:r>
        <w:fldChar w:fldCharType="separate"/>
      </w:r>
      <w:r>
        <w:rPr>
          <w:rStyle w:val="23"/>
          <w:rFonts w:ascii="Times New Roman" w:hAnsi="Times New Roman" w:eastAsia="楷体"/>
        </w:rPr>
        <w:t>第四节 推动绿色低碳发展</w:t>
      </w:r>
      <w:r>
        <w:tab/>
      </w:r>
      <w:r>
        <w:fldChar w:fldCharType="begin"/>
      </w:r>
      <w:r>
        <w:instrText xml:space="preserve"> PAGEREF _Toc71192382 \h </w:instrText>
      </w:r>
      <w:r>
        <w:fldChar w:fldCharType="separate"/>
      </w:r>
      <w:r>
        <w:t>64</w:t>
      </w:r>
      <w:r>
        <w:fldChar w:fldCharType="end"/>
      </w:r>
      <w:r>
        <w:fldChar w:fldCharType="end"/>
      </w:r>
    </w:p>
    <w:p>
      <w:pPr>
        <w:pStyle w:val="15"/>
        <w:rPr>
          <w:rFonts w:asciiTheme="minorHAnsi" w:hAnsiTheme="minorHAnsi" w:eastAsiaTheme="minorEastAsia" w:cstheme="minorBidi"/>
          <w:kern w:val="2"/>
          <w:sz w:val="21"/>
        </w:rPr>
      </w:pPr>
      <w:r>
        <w:fldChar w:fldCharType="begin"/>
      </w:r>
      <w:r>
        <w:instrText xml:space="preserve"> HYPERLINK \l "_Toc71192383" </w:instrText>
      </w:r>
      <w:r>
        <w:fldChar w:fldCharType="separate"/>
      </w:r>
      <w:r>
        <w:rPr>
          <w:rStyle w:val="23"/>
          <w:rFonts w:ascii="Times New Roman" w:hAnsi="Times New Roman" w:eastAsia="黑体"/>
        </w:rPr>
        <w:t>第六章 提升基础支撑，建设高能级交通物流枢纽城</w:t>
      </w:r>
      <w:r>
        <w:tab/>
      </w:r>
      <w:r>
        <w:fldChar w:fldCharType="begin"/>
      </w:r>
      <w:r>
        <w:instrText xml:space="preserve"> PAGEREF _Toc71192383 \h </w:instrText>
      </w:r>
      <w:r>
        <w:fldChar w:fldCharType="separate"/>
      </w:r>
      <w:r>
        <w:t>67</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"_Toc71192384" </w:instrText>
      </w:r>
      <w:r>
        <w:fldChar w:fldCharType="separate"/>
      </w:r>
      <w:r>
        <w:rPr>
          <w:rStyle w:val="23"/>
          <w:rFonts w:ascii="Times New Roman" w:hAnsi="Times New Roman" w:eastAsia="楷体"/>
        </w:rPr>
        <w:t>第一节 便捷通畅的综合交通体系</w:t>
      </w:r>
      <w:r>
        <w:tab/>
      </w:r>
      <w:r>
        <w:fldChar w:fldCharType="begin"/>
      </w:r>
      <w:r>
        <w:instrText xml:space="preserve"> PAGEREF _Toc71192384 \h </w:instrText>
      </w:r>
      <w:r>
        <w:fldChar w:fldCharType="separate"/>
      </w:r>
      <w:r>
        <w:t>67</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"_Toc71192385" </w:instrText>
      </w:r>
      <w:r>
        <w:fldChar w:fldCharType="separate"/>
      </w:r>
      <w:r>
        <w:rPr>
          <w:rStyle w:val="23"/>
          <w:rFonts w:ascii="Times New Roman" w:hAnsi="Times New Roman" w:eastAsia="楷体"/>
        </w:rPr>
        <w:t>第二节 低碳高效的能源保障体系</w:t>
      </w:r>
      <w:r>
        <w:tab/>
      </w:r>
      <w:r>
        <w:fldChar w:fldCharType="begin"/>
      </w:r>
      <w:r>
        <w:instrText xml:space="preserve"> PAGEREF _Toc71192385 \h </w:instrText>
      </w:r>
      <w:r>
        <w:fldChar w:fldCharType="separate"/>
      </w:r>
      <w:r>
        <w:t>69</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"_Toc71192386" </w:instrText>
      </w:r>
      <w:r>
        <w:fldChar w:fldCharType="separate"/>
      </w:r>
      <w:r>
        <w:rPr>
          <w:rStyle w:val="23"/>
          <w:rFonts w:ascii="Times New Roman" w:hAnsi="Times New Roman" w:eastAsia="楷体"/>
        </w:rPr>
        <w:t>第三节 兴利除害的水安全保障体系</w:t>
      </w:r>
      <w:r>
        <w:tab/>
      </w:r>
      <w:r>
        <w:fldChar w:fldCharType="begin"/>
      </w:r>
      <w:r>
        <w:instrText xml:space="preserve"> PAGEREF _Toc71192386 \h </w:instrText>
      </w:r>
      <w:r>
        <w:fldChar w:fldCharType="separate"/>
      </w:r>
      <w:r>
        <w:t>70</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"_Toc71192387" </w:instrText>
      </w:r>
      <w:r>
        <w:fldChar w:fldCharType="separate"/>
      </w:r>
      <w:r>
        <w:rPr>
          <w:rStyle w:val="23"/>
          <w:rFonts w:ascii="Times New Roman" w:hAnsi="Times New Roman" w:eastAsia="楷体"/>
        </w:rPr>
        <w:t>第四节 引领未来的信息基础设施体系</w:t>
      </w:r>
      <w:r>
        <w:tab/>
      </w:r>
      <w:r>
        <w:fldChar w:fldCharType="begin"/>
      </w:r>
      <w:r>
        <w:instrText xml:space="preserve"> PAGEREF _Toc71192387 \h </w:instrText>
      </w:r>
      <w:r>
        <w:fldChar w:fldCharType="separate"/>
      </w:r>
      <w:r>
        <w:t>72</w:t>
      </w:r>
      <w:r>
        <w:fldChar w:fldCharType="end"/>
      </w:r>
      <w:r>
        <w:fldChar w:fldCharType="end"/>
      </w:r>
    </w:p>
    <w:p>
      <w:pPr>
        <w:pStyle w:val="15"/>
        <w:rPr>
          <w:rFonts w:asciiTheme="minorHAnsi" w:hAnsiTheme="minorHAnsi" w:eastAsiaTheme="minorEastAsia" w:cstheme="minorBidi"/>
          <w:kern w:val="2"/>
          <w:sz w:val="21"/>
        </w:rPr>
      </w:pPr>
      <w:r>
        <w:fldChar w:fldCharType="begin"/>
      </w:r>
      <w:r>
        <w:instrText xml:space="preserve"> HYPERLINK \l "_Toc71192388" </w:instrText>
      </w:r>
      <w:r>
        <w:fldChar w:fldCharType="separate"/>
      </w:r>
      <w:r>
        <w:rPr>
          <w:rStyle w:val="23"/>
          <w:rFonts w:ascii="Times New Roman" w:hAnsi="Times New Roman" w:eastAsia="黑体"/>
        </w:rPr>
        <w:t>第七章 提升文化软实力，建设高层次黄河故道文旅城</w:t>
      </w:r>
      <w:r>
        <w:tab/>
      </w:r>
      <w:r>
        <w:fldChar w:fldCharType="begin"/>
      </w:r>
      <w:r>
        <w:instrText xml:space="preserve"> PAGEREF _Toc71192388 \h </w:instrText>
      </w:r>
      <w:r>
        <w:fldChar w:fldCharType="separate"/>
      </w:r>
      <w:r>
        <w:t>74</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"_Toc71192389" </w:instrText>
      </w:r>
      <w:r>
        <w:fldChar w:fldCharType="separate"/>
      </w:r>
      <w:r>
        <w:rPr>
          <w:rStyle w:val="23"/>
          <w:rFonts w:ascii="Times New Roman" w:hAnsi="Times New Roman" w:eastAsia="楷体"/>
        </w:rPr>
        <w:t>第一节 深入践行社会主义核心价值观</w:t>
      </w:r>
      <w:r>
        <w:tab/>
      </w:r>
      <w:r>
        <w:fldChar w:fldCharType="begin"/>
      </w:r>
      <w:r>
        <w:instrText xml:space="preserve"> PAGEREF _Toc71192389 \h </w:instrText>
      </w:r>
      <w:r>
        <w:fldChar w:fldCharType="separate"/>
      </w:r>
      <w:r>
        <w:t>74</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"_Toc71192390" </w:instrText>
      </w:r>
      <w:r>
        <w:fldChar w:fldCharType="separate"/>
      </w:r>
      <w:r>
        <w:rPr>
          <w:rStyle w:val="23"/>
          <w:rFonts w:ascii="Times New Roman" w:hAnsi="Times New Roman" w:eastAsia="楷体"/>
        </w:rPr>
        <w:t>第二节 提升公共文化服务水平</w:t>
      </w:r>
      <w:r>
        <w:tab/>
      </w:r>
      <w:r>
        <w:fldChar w:fldCharType="begin"/>
      </w:r>
      <w:r>
        <w:instrText xml:space="preserve"> PAGEREF _Toc71192390 \h </w:instrText>
      </w:r>
      <w:r>
        <w:fldChar w:fldCharType="separate"/>
      </w:r>
      <w:r>
        <w:t>75</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"_Toc71192391" </w:instrText>
      </w:r>
      <w:r>
        <w:fldChar w:fldCharType="separate"/>
      </w:r>
      <w:r>
        <w:rPr>
          <w:rStyle w:val="23"/>
          <w:rFonts w:ascii="Times New Roman" w:hAnsi="Times New Roman" w:eastAsia="楷体"/>
        </w:rPr>
        <w:t>第三节 大力发展文化产业</w:t>
      </w:r>
      <w:r>
        <w:tab/>
      </w:r>
      <w:r>
        <w:fldChar w:fldCharType="begin"/>
      </w:r>
      <w:r>
        <w:instrText xml:space="preserve"> PAGEREF _Toc71192391 \h </w:instrText>
      </w:r>
      <w:r>
        <w:fldChar w:fldCharType="separate"/>
      </w:r>
      <w:r>
        <w:t>75</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"_Toc71192392" </w:instrText>
      </w:r>
      <w:r>
        <w:fldChar w:fldCharType="separate"/>
      </w:r>
      <w:r>
        <w:rPr>
          <w:rStyle w:val="23"/>
          <w:rFonts w:ascii="Times New Roman" w:hAnsi="Times New Roman" w:eastAsia="楷体"/>
        </w:rPr>
        <w:t>第四节 建设全景式庄子小镇</w:t>
      </w:r>
      <w:r>
        <w:tab/>
      </w:r>
      <w:r>
        <w:fldChar w:fldCharType="begin"/>
      </w:r>
      <w:r>
        <w:instrText xml:space="preserve"> PAGEREF _Toc71192392 \h </w:instrText>
      </w:r>
      <w:r>
        <w:fldChar w:fldCharType="separate"/>
      </w:r>
      <w:r>
        <w:t>76</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"_Toc71192393" </w:instrText>
      </w:r>
      <w:r>
        <w:fldChar w:fldCharType="separate"/>
      </w:r>
      <w:r>
        <w:rPr>
          <w:rStyle w:val="23"/>
          <w:rFonts w:ascii="Times New Roman" w:hAnsi="Times New Roman" w:eastAsia="楷体"/>
        </w:rPr>
        <w:t>第五节 打造高层次黄河故道文旅城</w:t>
      </w:r>
      <w:r>
        <w:tab/>
      </w:r>
      <w:r>
        <w:fldChar w:fldCharType="begin"/>
      </w:r>
      <w:r>
        <w:instrText xml:space="preserve"> PAGEREF _Toc71192393 \h </w:instrText>
      </w:r>
      <w:r>
        <w:fldChar w:fldCharType="separate"/>
      </w:r>
      <w:r>
        <w:t>77</w:t>
      </w:r>
      <w:r>
        <w:fldChar w:fldCharType="end"/>
      </w:r>
      <w:r>
        <w:fldChar w:fldCharType="end"/>
      </w:r>
    </w:p>
    <w:p>
      <w:pPr>
        <w:pStyle w:val="9"/>
        <w:tabs>
          <w:tab w:val="right" w:leader="dot" w:pos="8296"/>
        </w:tabs>
        <w:rPr>
          <w:rFonts w:asciiTheme="minorHAnsi" w:hAnsiTheme="minorHAnsi" w:eastAsiaTheme="minorEastAsia" w:cstheme="minorBidi"/>
          <w:kern w:val="2"/>
          <w:sz w:val="21"/>
        </w:rPr>
      </w:pPr>
      <w:r>
        <w:fldChar w:fldCharType="begin"/>
      </w:r>
      <w:r>
        <w:instrText xml:space="preserve"> HYPERLINK \l "_Toc71192394" </w:instrText>
      </w:r>
      <w:r>
        <w:fldChar w:fldCharType="separate"/>
      </w:r>
      <w:r>
        <w:rPr>
          <w:rStyle w:val="23"/>
          <w:rFonts w:ascii="Times New Roman" w:hAnsi="Times New Roman" w:eastAsia="楷体"/>
        </w:rPr>
        <w:t>（一）构建生态文旅融合新格局</w:t>
      </w:r>
      <w:r>
        <w:tab/>
      </w:r>
      <w:r>
        <w:fldChar w:fldCharType="begin"/>
      </w:r>
      <w:r>
        <w:instrText xml:space="preserve"> PAGEREF _Toc71192394 \h </w:instrText>
      </w:r>
      <w:r>
        <w:fldChar w:fldCharType="separate"/>
      </w:r>
      <w:r>
        <w:t>77</w:t>
      </w:r>
      <w:r>
        <w:fldChar w:fldCharType="end"/>
      </w:r>
      <w:r>
        <w:fldChar w:fldCharType="end"/>
      </w:r>
    </w:p>
    <w:p>
      <w:pPr>
        <w:pStyle w:val="9"/>
        <w:tabs>
          <w:tab w:val="right" w:leader="dot" w:pos="8296"/>
        </w:tabs>
        <w:rPr>
          <w:rFonts w:asciiTheme="minorHAnsi" w:hAnsiTheme="minorHAnsi" w:eastAsiaTheme="minorEastAsia" w:cstheme="minorBidi"/>
          <w:kern w:val="2"/>
          <w:sz w:val="21"/>
        </w:rPr>
      </w:pPr>
      <w:r>
        <w:fldChar w:fldCharType="begin"/>
      </w:r>
      <w:r>
        <w:instrText xml:space="preserve"> HYPERLINK \l "_Toc71192395" </w:instrText>
      </w:r>
      <w:r>
        <w:fldChar w:fldCharType="separate"/>
      </w:r>
      <w:r>
        <w:rPr>
          <w:rStyle w:val="23"/>
          <w:rFonts w:ascii="Times New Roman" w:hAnsi="Times New Roman" w:eastAsia="楷体"/>
        </w:rPr>
        <w:t>（二）创建全域旅游示范县</w:t>
      </w:r>
      <w:r>
        <w:tab/>
      </w:r>
      <w:r>
        <w:fldChar w:fldCharType="begin"/>
      </w:r>
      <w:r>
        <w:instrText xml:space="preserve"> PAGEREF _Toc71192395 \h </w:instrText>
      </w:r>
      <w:r>
        <w:fldChar w:fldCharType="separate"/>
      </w:r>
      <w:r>
        <w:t>79</w:t>
      </w:r>
      <w:r>
        <w:fldChar w:fldCharType="end"/>
      </w:r>
      <w:r>
        <w:fldChar w:fldCharType="end"/>
      </w:r>
    </w:p>
    <w:p>
      <w:pPr>
        <w:pStyle w:val="15"/>
        <w:rPr>
          <w:rFonts w:asciiTheme="minorHAnsi" w:hAnsiTheme="minorHAnsi" w:eastAsiaTheme="minorEastAsia" w:cstheme="minorBidi"/>
          <w:kern w:val="2"/>
          <w:sz w:val="21"/>
        </w:rPr>
      </w:pPr>
      <w:r>
        <w:fldChar w:fldCharType="begin"/>
      </w:r>
      <w:r>
        <w:instrText xml:space="preserve"> HYPERLINK \l "_Toc71192396" </w:instrText>
      </w:r>
      <w:r>
        <w:fldChar w:fldCharType="separate"/>
      </w:r>
      <w:r>
        <w:rPr>
          <w:rStyle w:val="23"/>
          <w:rFonts w:ascii="Times New Roman" w:hAnsi="Times New Roman" w:eastAsia="黑体"/>
        </w:rPr>
        <w:t>第八章 着力新型城镇化，建设高品质美丽幸福宜居城</w:t>
      </w:r>
      <w:r>
        <w:tab/>
      </w:r>
      <w:r>
        <w:fldChar w:fldCharType="begin"/>
      </w:r>
      <w:r>
        <w:instrText xml:space="preserve"> PAGEREF _Toc71192396 \h </w:instrText>
      </w:r>
      <w:r>
        <w:fldChar w:fldCharType="separate"/>
      </w:r>
      <w:r>
        <w:t>81</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"_Toc71192397" </w:instrText>
      </w:r>
      <w:r>
        <w:fldChar w:fldCharType="separate"/>
      </w:r>
      <w:r>
        <w:rPr>
          <w:rStyle w:val="23"/>
          <w:rFonts w:ascii="Times New Roman" w:hAnsi="Times New Roman" w:eastAsia="楷体"/>
        </w:rPr>
        <w:t>第一节 优化城镇空间布局</w:t>
      </w:r>
      <w:r>
        <w:tab/>
      </w:r>
      <w:r>
        <w:fldChar w:fldCharType="begin"/>
      </w:r>
      <w:r>
        <w:instrText xml:space="preserve"> PAGEREF _Toc71192397 \h </w:instrText>
      </w:r>
      <w:r>
        <w:fldChar w:fldCharType="separate"/>
      </w:r>
      <w:r>
        <w:t>81</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"_Toc71192398" </w:instrText>
      </w:r>
      <w:r>
        <w:fldChar w:fldCharType="separate"/>
      </w:r>
      <w:r>
        <w:rPr>
          <w:rStyle w:val="23"/>
          <w:rFonts w:ascii="Times New Roman" w:hAnsi="Times New Roman" w:eastAsia="楷体"/>
        </w:rPr>
        <w:t>第二节 提升中心城区建设质量</w:t>
      </w:r>
      <w:r>
        <w:tab/>
      </w:r>
      <w:r>
        <w:fldChar w:fldCharType="begin"/>
      </w:r>
      <w:r>
        <w:instrText xml:space="preserve"> PAGEREF _Toc71192398 \h </w:instrText>
      </w:r>
      <w:r>
        <w:fldChar w:fldCharType="separate"/>
      </w:r>
      <w:r>
        <w:t>82</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"_Toc71192399" </w:instrText>
      </w:r>
      <w:r>
        <w:fldChar w:fldCharType="separate"/>
      </w:r>
      <w:r>
        <w:rPr>
          <w:rStyle w:val="23"/>
          <w:rFonts w:ascii="Times New Roman" w:hAnsi="Times New Roman" w:eastAsia="楷体"/>
        </w:rPr>
        <w:t>第三节 提升小城镇节点功能</w:t>
      </w:r>
      <w:r>
        <w:tab/>
      </w:r>
      <w:r>
        <w:fldChar w:fldCharType="begin"/>
      </w:r>
      <w:r>
        <w:instrText xml:space="preserve"> PAGEREF _Toc71192399 \h </w:instrText>
      </w:r>
      <w:r>
        <w:fldChar w:fldCharType="separate"/>
      </w:r>
      <w:r>
        <w:t>86</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"_Toc71192400" </w:instrText>
      </w:r>
      <w:r>
        <w:fldChar w:fldCharType="separate"/>
      </w:r>
      <w:r>
        <w:rPr>
          <w:rStyle w:val="23"/>
          <w:rFonts w:ascii="Times New Roman" w:hAnsi="Times New Roman" w:eastAsia="楷体"/>
        </w:rPr>
        <w:t>第四节 推进城乡融合发展</w:t>
      </w:r>
      <w:r>
        <w:tab/>
      </w:r>
      <w:r>
        <w:fldChar w:fldCharType="begin"/>
      </w:r>
      <w:r>
        <w:instrText xml:space="preserve"> PAGEREF _Toc71192400 \h </w:instrText>
      </w:r>
      <w:r>
        <w:fldChar w:fldCharType="separate"/>
      </w:r>
      <w:r>
        <w:t>88</w:t>
      </w:r>
      <w:r>
        <w:fldChar w:fldCharType="end"/>
      </w:r>
      <w:r>
        <w:fldChar w:fldCharType="end"/>
      </w:r>
    </w:p>
    <w:p>
      <w:pPr>
        <w:pStyle w:val="15"/>
        <w:rPr>
          <w:rFonts w:asciiTheme="minorHAnsi" w:hAnsiTheme="minorHAnsi" w:eastAsiaTheme="minorEastAsia" w:cstheme="minorBidi"/>
          <w:kern w:val="2"/>
          <w:sz w:val="21"/>
        </w:rPr>
      </w:pPr>
      <w:r>
        <w:fldChar w:fldCharType="begin"/>
      </w:r>
      <w:r>
        <w:instrText xml:space="preserve"> HYPERLINK \l "_Toc71192401" </w:instrText>
      </w:r>
      <w:r>
        <w:fldChar w:fldCharType="separate"/>
      </w:r>
      <w:r>
        <w:rPr>
          <w:rStyle w:val="23"/>
          <w:rFonts w:ascii="Times New Roman" w:hAnsi="Times New Roman" w:eastAsia="黑体"/>
        </w:rPr>
        <w:t>第九章 全面发展社会事业，更好保障和改善民生</w:t>
      </w:r>
      <w:r>
        <w:tab/>
      </w:r>
      <w:r>
        <w:fldChar w:fldCharType="begin"/>
      </w:r>
      <w:r>
        <w:instrText xml:space="preserve"> PAGEREF _Toc71192401 \h </w:instrText>
      </w:r>
      <w:r>
        <w:fldChar w:fldCharType="separate"/>
      </w:r>
      <w:r>
        <w:t>91</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"_Toc71192402" </w:instrText>
      </w:r>
      <w:r>
        <w:fldChar w:fldCharType="separate"/>
      </w:r>
      <w:r>
        <w:rPr>
          <w:rStyle w:val="23"/>
          <w:rFonts w:ascii="Times New Roman" w:hAnsi="Times New Roman" w:eastAsia="楷体"/>
        </w:rPr>
        <w:t>第一节 促进更高质量更充分就业</w:t>
      </w:r>
      <w:r>
        <w:tab/>
      </w:r>
      <w:r>
        <w:fldChar w:fldCharType="begin"/>
      </w:r>
      <w:r>
        <w:instrText xml:space="preserve"> PAGEREF _Toc71192402 \h </w:instrText>
      </w:r>
      <w:r>
        <w:fldChar w:fldCharType="separate"/>
      </w:r>
      <w:r>
        <w:t>91</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"_Toc71192403" </w:instrText>
      </w:r>
      <w:r>
        <w:fldChar w:fldCharType="separate"/>
      </w:r>
      <w:r>
        <w:rPr>
          <w:rStyle w:val="23"/>
          <w:rFonts w:ascii="Times New Roman" w:hAnsi="Times New Roman" w:eastAsia="楷体"/>
        </w:rPr>
        <w:t>第二节 完善全覆盖多层次社会保障体系</w:t>
      </w:r>
      <w:r>
        <w:tab/>
      </w:r>
      <w:r>
        <w:fldChar w:fldCharType="begin"/>
      </w:r>
      <w:r>
        <w:instrText xml:space="preserve"> PAGEREF _Toc71192403 \h </w:instrText>
      </w:r>
      <w:r>
        <w:fldChar w:fldCharType="separate"/>
      </w:r>
      <w:r>
        <w:t>92</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"_Toc71192404" </w:instrText>
      </w:r>
      <w:r>
        <w:fldChar w:fldCharType="separate"/>
      </w:r>
      <w:r>
        <w:rPr>
          <w:rStyle w:val="23"/>
          <w:rFonts w:ascii="Times New Roman" w:hAnsi="Times New Roman" w:eastAsia="楷体"/>
        </w:rPr>
        <w:t>第三节 发展高标准现代教育体系</w:t>
      </w:r>
      <w:r>
        <w:tab/>
      </w:r>
      <w:r>
        <w:fldChar w:fldCharType="begin"/>
      </w:r>
      <w:r>
        <w:instrText xml:space="preserve"> PAGEREF _Toc71192404 \h </w:instrText>
      </w:r>
      <w:r>
        <w:fldChar w:fldCharType="separate"/>
      </w:r>
      <w:r>
        <w:t>94</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"_Toc71192405" </w:instrText>
      </w:r>
      <w:r>
        <w:fldChar w:fldCharType="separate"/>
      </w:r>
      <w:r>
        <w:rPr>
          <w:rStyle w:val="23"/>
          <w:rFonts w:ascii="Times New Roman" w:hAnsi="Times New Roman" w:eastAsia="楷体"/>
        </w:rPr>
        <w:t>第四节 构建全民健康管理服务体系</w:t>
      </w:r>
      <w:r>
        <w:tab/>
      </w:r>
      <w:r>
        <w:fldChar w:fldCharType="begin"/>
      </w:r>
      <w:r>
        <w:instrText xml:space="preserve"> PAGEREF _Toc71192405 \h </w:instrText>
      </w:r>
      <w:r>
        <w:fldChar w:fldCharType="separate"/>
      </w:r>
      <w:r>
        <w:t>97</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"_Toc71192406" </w:instrText>
      </w:r>
      <w:r>
        <w:fldChar w:fldCharType="separate"/>
      </w:r>
      <w:r>
        <w:rPr>
          <w:rStyle w:val="23"/>
          <w:rFonts w:ascii="Times New Roman" w:hAnsi="Times New Roman" w:eastAsia="楷体"/>
        </w:rPr>
        <w:t>第五节 完善多元化养老服务体系</w:t>
      </w:r>
      <w:r>
        <w:tab/>
      </w:r>
      <w:r>
        <w:fldChar w:fldCharType="begin"/>
      </w:r>
      <w:r>
        <w:instrText xml:space="preserve"> PAGEREF _Toc71192406 \h </w:instrText>
      </w:r>
      <w:r>
        <w:fldChar w:fldCharType="separate"/>
      </w:r>
      <w:r>
        <w:t>99</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"_Toc71192407" </w:instrText>
      </w:r>
      <w:r>
        <w:fldChar w:fldCharType="separate"/>
      </w:r>
      <w:r>
        <w:rPr>
          <w:rStyle w:val="23"/>
          <w:rFonts w:ascii="Times New Roman" w:hAnsi="Times New Roman" w:eastAsia="楷体"/>
        </w:rPr>
        <w:t>第六节 做好社会救助关爱工作</w:t>
      </w:r>
      <w:r>
        <w:tab/>
      </w:r>
      <w:r>
        <w:fldChar w:fldCharType="begin"/>
      </w:r>
      <w:r>
        <w:instrText xml:space="preserve"> PAGEREF _Toc71192407 \h </w:instrText>
      </w:r>
      <w:r>
        <w:fldChar w:fldCharType="separate"/>
      </w:r>
      <w:r>
        <w:t>100</w:t>
      </w:r>
      <w:r>
        <w:fldChar w:fldCharType="end"/>
      </w:r>
      <w:r>
        <w:fldChar w:fldCharType="end"/>
      </w:r>
    </w:p>
    <w:p>
      <w:pPr>
        <w:pStyle w:val="15"/>
        <w:rPr>
          <w:rFonts w:asciiTheme="minorHAnsi" w:hAnsiTheme="minorHAnsi" w:eastAsiaTheme="minorEastAsia" w:cstheme="minorBidi"/>
          <w:kern w:val="2"/>
          <w:sz w:val="21"/>
        </w:rPr>
      </w:pPr>
      <w:r>
        <w:fldChar w:fldCharType="begin"/>
      </w:r>
      <w:r>
        <w:instrText xml:space="preserve"> HYPERLINK \l "_Toc71192408" </w:instrText>
      </w:r>
      <w:r>
        <w:fldChar w:fldCharType="separate"/>
      </w:r>
      <w:r>
        <w:rPr>
          <w:rStyle w:val="23"/>
          <w:rFonts w:ascii="Times New Roman" w:hAnsi="Times New Roman" w:eastAsia="黑体"/>
        </w:rPr>
        <w:t>第十章 坚持创新驱动，培育发展新动能</w:t>
      </w:r>
      <w:r>
        <w:tab/>
      </w:r>
      <w:r>
        <w:fldChar w:fldCharType="begin"/>
      </w:r>
      <w:r>
        <w:instrText xml:space="preserve"> PAGEREF _Toc71192408 \h </w:instrText>
      </w:r>
      <w:r>
        <w:fldChar w:fldCharType="separate"/>
      </w:r>
      <w:r>
        <w:t>103</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"_Toc71192409" </w:instrText>
      </w:r>
      <w:r>
        <w:fldChar w:fldCharType="separate"/>
      </w:r>
      <w:r>
        <w:rPr>
          <w:rStyle w:val="23"/>
          <w:rFonts w:ascii="Times New Roman" w:hAnsi="Times New Roman" w:eastAsia="楷体"/>
        </w:rPr>
        <w:t>第一节 加强创新平台建设</w:t>
      </w:r>
      <w:r>
        <w:tab/>
      </w:r>
      <w:r>
        <w:fldChar w:fldCharType="begin"/>
      </w:r>
      <w:r>
        <w:instrText xml:space="preserve"> PAGEREF _Toc71192409 \h </w:instrText>
      </w:r>
      <w:r>
        <w:fldChar w:fldCharType="separate"/>
      </w:r>
      <w:r>
        <w:t>103</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"_Toc71192410" </w:instrText>
      </w:r>
      <w:r>
        <w:fldChar w:fldCharType="separate"/>
      </w:r>
      <w:r>
        <w:rPr>
          <w:rStyle w:val="23"/>
          <w:rFonts w:ascii="Times New Roman" w:hAnsi="Times New Roman" w:eastAsia="楷体"/>
        </w:rPr>
        <w:t>第二节 提升企业技术创新能力</w:t>
      </w:r>
      <w:r>
        <w:tab/>
      </w:r>
      <w:r>
        <w:fldChar w:fldCharType="begin"/>
      </w:r>
      <w:r>
        <w:instrText xml:space="preserve"> PAGEREF _Toc71192410 \h </w:instrText>
      </w:r>
      <w:r>
        <w:fldChar w:fldCharType="separate"/>
      </w:r>
      <w:r>
        <w:t>104</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"_Toc71192411" </w:instrText>
      </w:r>
      <w:r>
        <w:fldChar w:fldCharType="separate"/>
      </w:r>
      <w:r>
        <w:rPr>
          <w:rStyle w:val="23"/>
          <w:rFonts w:ascii="Times New Roman" w:hAnsi="Times New Roman" w:eastAsia="楷体"/>
        </w:rPr>
        <w:t>第三节 建设创新人才队伍</w:t>
      </w:r>
      <w:r>
        <w:tab/>
      </w:r>
      <w:r>
        <w:fldChar w:fldCharType="begin"/>
      </w:r>
      <w:r>
        <w:instrText xml:space="preserve"> PAGEREF _Toc71192411 \h </w:instrText>
      </w:r>
      <w:r>
        <w:fldChar w:fldCharType="separate"/>
      </w:r>
      <w:r>
        <w:t>104</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"_Toc71192412" </w:instrText>
      </w:r>
      <w:r>
        <w:fldChar w:fldCharType="separate"/>
      </w:r>
      <w:r>
        <w:rPr>
          <w:rStyle w:val="23"/>
          <w:rFonts w:ascii="Times New Roman" w:hAnsi="Times New Roman" w:eastAsia="楷体"/>
        </w:rPr>
        <w:t>第四节 完善科技创新体制机制</w:t>
      </w:r>
      <w:r>
        <w:tab/>
      </w:r>
      <w:r>
        <w:fldChar w:fldCharType="begin"/>
      </w:r>
      <w:r>
        <w:instrText xml:space="preserve"> PAGEREF _Toc71192412 \h </w:instrText>
      </w:r>
      <w:r>
        <w:fldChar w:fldCharType="separate"/>
      </w:r>
      <w:r>
        <w:t>105</w:t>
      </w:r>
      <w:r>
        <w:fldChar w:fldCharType="end"/>
      </w:r>
      <w:r>
        <w:fldChar w:fldCharType="end"/>
      </w:r>
    </w:p>
    <w:p>
      <w:pPr>
        <w:pStyle w:val="15"/>
        <w:rPr>
          <w:rFonts w:asciiTheme="minorHAnsi" w:hAnsiTheme="minorHAnsi" w:eastAsiaTheme="minorEastAsia" w:cstheme="minorBidi"/>
          <w:kern w:val="2"/>
          <w:sz w:val="21"/>
        </w:rPr>
      </w:pPr>
      <w:r>
        <w:fldChar w:fldCharType="begin"/>
      </w:r>
      <w:r>
        <w:instrText xml:space="preserve"> HYPERLINK \l "_Toc71192413" </w:instrText>
      </w:r>
      <w:r>
        <w:fldChar w:fldCharType="separate"/>
      </w:r>
      <w:r>
        <w:rPr>
          <w:rStyle w:val="23"/>
          <w:rFonts w:ascii="Times New Roman" w:hAnsi="Times New Roman" w:eastAsia="黑体"/>
        </w:rPr>
        <w:t>第十一章 坚持扩大内需，融入新发展格局</w:t>
      </w:r>
      <w:r>
        <w:tab/>
      </w:r>
      <w:r>
        <w:fldChar w:fldCharType="begin"/>
      </w:r>
      <w:r>
        <w:instrText xml:space="preserve"> PAGEREF _Toc71192413 \h </w:instrText>
      </w:r>
      <w:r>
        <w:fldChar w:fldCharType="separate"/>
      </w:r>
      <w:r>
        <w:t>107</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"_Toc71192414" </w:instrText>
      </w:r>
      <w:r>
        <w:fldChar w:fldCharType="separate"/>
      </w:r>
      <w:r>
        <w:rPr>
          <w:rStyle w:val="23"/>
          <w:rFonts w:ascii="Times New Roman" w:hAnsi="Times New Roman" w:eastAsia="楷体"/>
        </w:rPr>
        <w:t>第一节 发挥撤县设市带动引领</w:t>
      </w:r>
      <w:r>
        <w:tab/>
      </w:r>
      <w:r>
        <w:fldChar w:fldCharType="begin"/>
      </w:r>
      <w:r>
        <w:instrText xml:space="preserve"> PAGEREF _Toc71192414 \h </w:instrText>
      </w:r>
      <w:r>
        <w:fldChar w:fldCharType="separate"/>
      </w:r>
      <w:r>
        <w:t>107</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"_Toc71192415" </w:instrText>
      </w:r>
      <w:r>
        <w:fldChar w:fldCharType="separate"/>
      </w:r>
      <w:r>
        <w:rPr>
          <w:rStyle w:val="23"/>
          <w:rFonts w:ascii="Times New Roman" w:hAnsi="Times New Roman" w:eastAsia="楷体"/>
        </w:rPr>
        <w:t>第二节 合理精准扩大有效投资</w:t>
      </w:r>
      <w:r>
        <w:tab/>
      </w:r>
      <w:r>
        <w:fldChar w:fldCharType="begin"/>
      </w:r>
      <w:r>
        <w:instrText xml:space="preserve"> PAGEREF _Toc71192415 \h </w:instrText>
      </w:r>
      <w:r>
        <w:fldChar w:fldCharType="separate"/>
      </w:r>
      <w:r>
        <w:t>107</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"_Toc71192416" </w:instrText>
      </w:r>
      <w:r>
        <w:fldChar w:fldCharType="separate"/>
      </w:r>
      <w:r>
        <w:rPr>
          <w:rStyle w:val="23"/>
          <w:rFonts w:ascii="Times New Roman" w:hAnsi="Times New Roman" w:eastAsia="楷体"/>
        </w:rPr>
        <w:t>第三节 全面促进消费扩容提质</w:t>
      </w:r>
      <w:r>
        <w:tab/>
      </w:r>
      <w:r>
        <w:fldChar w:fldCharType="begin"/>
      </w:r>
      <w:r>
        <w:instrText xml:space="preserve"> PAGEREF _Toc71192416 \h </w:instrText>
      </w:r>
      <w:r>
        <w:fldChar w:fldCharType="separate"/>
      </w:r>
      <w:r>
        <w:t>108</w:t>
      </w:r>
      <w:r>
        <w:fldChar w:fldCharType="end"/>
      </w:r>
      <w:r>
        <w:fldChar w:fldCharType="end"/>
      </w:r>
    </w:p>
    <w:p>
      <w:pPr>
        <w:pStyle w:val="15"/>
        <w:rPr>
          <w:rFonts w:asciiTheme="minorHAnsi" w:hAnsiTheme="minorHAnsi" w:eastAsiaTheme="minorEastAsia" w:cstheme="minorBidi"/>
          <w:kern w:val="2"/>
          <w:sz w:val="21"/>
        </w:rPr>
      </w:pPr>
      <w:r>
        <w:fldChar w:fldCharType="begin"/>
      </w:r>
      <w:r>
        <w:instrText xml:space="preserve"> HYPERLINK \l "_Toc71192417" </w:instrText>
      </w:r>
      <w:r>
        <w:fldChar w:fldCharType="separate"/>
      </w:r>
      <w:r>
        <w:rPr>
          <w:rStyle w:val="23"/>
          <w:rFonts w:ascii="Times New Roman" w:hAnsi="Times New Roman" w:eastAsia="黑体"/>
        </w:rPr>
        <w:t>第十二章 实行更高水平开放，拓展开放合作空间</w:t>
      </w:r>
      <w:r>
        <w:tab/>
      </w:r>
      <w:r>
        <w:fldChar w:fldCharType="begin"/>
      </w:r>
      <w:r>
        <w:instrText xml:space="preserve"> PAGEREF _Toc71192417 \h </w:instrText>
      </w:r>
      <w:r>
        <w:fldChar w:fldCharType="separate"/>
      </w:r>
      <w:r>
        <w:t>111</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"_Toc71192418" </w:instrText>
      </w:r>
      <w:r>
        <w:fldChar w:fldCharType="separate"/>
      </w:r>
      <w:r>
        <w:rPr>
          <w:rStyle w:val="23"/>
          <w:rFonts w:ascii="Times New Roman" w:hAnsi="Times New Roman" w:eastAsia="楷体"/>
        </w:rPr>
        <w:t>第一节 积极融入“一带一路”</w:t>
      </w:r>
      <w:r>
        <w:tab/>
      </w:r>
      <w:r>
        <w:fldChar w:fldCharType="begin"/>
      </w:r>
      <w:r>
        <w:instrText xml:space="preserve"> PAGEREF _Toc71192418 \h </w:instrText>
      </w:r>
      <w:r>
        <w:fldChar w:fldCharType="separate"/>
      </w:r>
      <w:r>
        <w:t>111</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"_Toc71192419" </w:instrText>
      </w:r>
      <w:r>
        <w:fldChar w:fldCharType="separate"/>
      </w:r>
      <w:r>
        <w:rPr>
          <w:rStyle w:val="23"/>
          <w:rFonts w:ascii="Times New Roman" w:hAnsi="Times New Roman" w:eastAsia="楷体"/>
        </w:rPr>
        <w:t>第二节 拓展开放合作空间</w:t>
      </w:r>
      <w:r>
        <w:tab/>
      </w:r>
      <w:r>
        <w:fldChar w:fldCharType="begin"/>
      </w:r>
      <w:r>
        <w:instrText xml:space="preserve"> PAGEREF _Toc71192419 \h </w:instrText>
      </w:r>
      <w:r>
        <w:fldChar w:fldCharType="separate"/>
      </w:r>
      <w:r>
        <w:t>111</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"_Toc71192420" </w:instrText>
      </w:r>
      <w:r>
        <w:fldChar w:fldCharType="separate"/>
      </w:r>
      <w:r>
        <w:rPr>
          <w:rStyle w:val="23"/>
          <w:rFonts w:ascii="Times New Roman" w:hAnsi="Times New Roman" w:eastAsia="楷体"/>
        </w:rPr>
        <w:t>第三节 持续加大招商力度</w:t>
      </w:r>
      <w:r>
        <w:tab/>
      </w:r>
      <w:r>
        <w:fldChar w:fldCharType="begin"/>
      </w:r>
      <w:r>
        <w:instrText xml:space="preserve"> PAGEREF _Toc71192420 \h </w:instrText>
      </w:r>
      <w:r>
        <w:fldChar w:fldCharType="separate"/>
      </w:r>
      <w:r>
        <w:t>112</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"_Toc71192421" </w:instrText>
      </w:r>
      <w:r>
        <w:fldChar w:fldCharType="separate"/>
      </w:r>
      <w:r>
        <w:rPr>
          <w:rStyle w:val="23"/>
          <w:rFonts w:ascii="Times New Roman" w:hAnsi="Times New Roman" w:eastAsia="楷体"/>
        </w:rPr>
        <w:t>第四节 提高招商引资质量</w:t>
      </w:r>
      <w:r>
        <w:tab/>
      </w:r>
      <w:r>
        <w:fldChar w:fldCharType="begin"/>
      </w:r>
      <w:r>
        <w:instrText xml:space="preserve"> PAGEREF _Toc71192421 \h </w:instrText>
      </w:r>
      <w:r>
        <w:fldChar w:fldCharType="separate"/>
      </w:r>
      <w:r>
        <w:t>113</w:t>
      </w:r>
      <w:r>
        <w:fldChar w:fldCharType="end"/>
      </w:r>
      <w:r>
        <w:fldChar w:fldCharType="end"/>
      </w:r>
    </w:p>
    <w:p>
      <w:pPr>
        <w:pStyle w:val="15"/>
        <w:rPr>
          <w:rFonts w:asciiTheme="minorHAnsi" w:hAnsiTheme="minorHAnsi" w:eastAsiaTheme="minorEastAsia" w:cstheme="minorBidi"/>
          <w:kern w:val="2"/>
          <w:sz w:val="21"/>
        </w:rPr>
      </w:pPr>
      <w:r>
        <w:fldChar w:fldCharType="begin"/>
      </w:r>
      <w:r>
        <w:instrText xml:space="preserve"> HYPERLINK \l "_Toc71192422" </w:instrText>
      </w:r>
      <w:r>
        <w:fldChar w:fldCharType="separate"/>
      </w:r>
      <w:r>
        <w:rPr>
          <w:rStyle w:val="23"/>
          <w:rFonts w:ascii="Times New Roman" w:hAnsi="Times New Roman" w:eastAsia="黑体"/>
        </w:rPr>
        <w:t>第十三章 全面深化改革，增强发展活力</w:t>
      </w:r>
      <w:r>
        <w:tab/>
      </w:r>
      <w:r>
        <w:fldChar w:fldCharType="begin"/>
      </w:r>
      <w:r>
        <w:instrText xml:space="preserve"> PAGEREF _Toc71192422 \h </w:instrText>
      </w:r>
      <w:r>
        <w:fldChar w:fldCharType="separate"/>
      </w:r>
      <w:r>
        <w:t>114</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"_Toc71192423" </w:instrText>
      </w:r>
      <w:r>
        <w:fldChar w:fldCharType="separate"/>
      </w:r>
      <w:r>
        <w:rPr>
          <w:rStyle w:val="23"/>
          <w:rFonts w:ascii="Times New Roman" w:hAnsi="Times New Roman" w:eastAsia="楷体"/>
        </w:rPr>
        <w:t>第一节 激发市场主体活力</w:t>
      </w:r>
      <w:r>
        <w:tab/>
      </w:r>
      <w:r>
        <w:fldChar w:fldCharType="begin"/>
      </w:r>
      <w:r>
        <w:instrText xml:space="preserve"> PAGEREF _Toc71192423 \h </w:instrText>
      </w:r>
      <w:r>
        <w:fldChar w:fldCharType="separate"/>
      </w:r>
      <w:r>
        <w:t>114</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"_Toc71192424" </w:instrText>
      </w:r>
      <w:r>
        <w:fldChar w:fldCharType="separate"/>
      </w:r>
      <w:r>
        <w:rPr>
          <w:rStyle w:val="23"/>
          <w:rFonts w:ascii="Times New Roman" w:hAnsi="Times New Roman" w:eastAsia="楷体"/>
        </w:rPr>
        <w:t>第二节 推进要素配置市场化改革</w:t>
      </w:r>
      <w:r>
        <w:tab/>
      </w:r>
      <w:r>
        <w:fldChar w:fldCharType="begin"/>
      </w:r>
      <w:r>
        <w:instrText xml:space="preserve"> PAGEREF _Toc71192424 \h </w:instrText>
      </w:r>
      <w:r>
        <w:fldChar w:fldCharType="separate"/>
      </w:r>
      <w:r>
        <w:t>114</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"_Toc71192425" </w:instrText>
      </w:r>
      <w:r>
        <w:fldChar w:fldCharType="separate"/>
      </w:r>
      <w:r>
        <w:rPr>
          <w:rStyle w:val="23"/>
          <w:rFonts w:ascii="Times New Roman" w:hAnsi="Times New Roman" w:eastAsia="楷体"/>
        </w:rPr>
        <w:t>第三节 加快提升政府治理效能</w:t>
      </w:r>
      <w:r>
        <w:tab/>
      </w:r>
      <w:r>
        <w:fldChar w:fldCharType="begin"/>
      </w:r>
      <w:r>
        <w:instrText xml:space="preserve"> PAGEREF _Toc71192425 \h </w:instrText>
      </w:r>
      <w:r>
        <w:fldChar w:fldCharType="separate"/>
      </w:r>
      <w:r>
        <w:t>115</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"_Toc71192426" </w:instrText>
      </w:r>
      <w:r>
        <w:fldChar w:fldCharType="separate"/>
      </w:r>
      <w:r>
        <w:rPr>
          <w:rStyle w:val="23"/>
          <w:rFonts w:ascii="Times New Roman" w:hAnsi="Times New Roman" w:eastAsia="楷体"/>
        </w:rPr>
        <w:t>第四节 打造最优营商环境</w:t>
      </w:r>
      <w:r>
        <w:tab/>
      </w:r>
      <w:r>
        <w:fldChar w:fldCharType="begin"/>
      </w:r>
      <w:r>
        <w:instrText xml:space="preserve"> PAGEREF _Toc71192426 \h </w:instrText>
      </w:r>
      <w:r>
        <w:fldChar w:fldCharType="separate"/>
      </w:r>
      <w:r>
        <w:t>117</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"_Toc71192427" </w:instrText>
      </w:r>
      <w:r>
        <w:fldChar w:fldCharType="separate"/>
      </w:r>
      <w:r>
        <w:rPr>
          <w:rStyle w:val="23"/>
          <w:rFonts w:ascii="Times New Roman" w:hAnsi="Times New Roman" w:eastAsia="楷体"/>
        </w:rPr>
        <w:t>第五节 加强社会信用建设</w:t>
      </w:r>
      <w:r>
        <w:tab/>
      </w:r>
      <w:r>
        <w:fldChar w:fldCharType="begin"/>
      </w:r>
      <w:r>
        <w:instrText xml:space="preserve"> PAGEREF _Toc71192427 \h </w:instrText>
      </w:r>
      <w:r>
        <w:fldChar w:fldCharType="separate"/>
      </w:r>
      <w:r>
        <w:t>118</w:t>
      </w:r>
      <w:r>
        <w:fldChar w:fldCharType="end"/>
      </w:r>
      <w:r>
        <w:fldChar w:fldCharType="end"/>
      </w:r>
    </w:p>
    <w:p>
      <w:pPr>
        <w:pStyle w:val="15"/>
        <w:rPr>
          <w:rFonts w:asciiTheme="minorHAnsi" w:hAnsiTheme="minorHAnsi" w:eastAsiaTheme="minorEastAsia" w:cstheme="minorBidi"/>
          <w:kern w:val="2"/>
          <w:sz w:val="21"/>
        </w:rPr>
      </w:pPr>
      <w:r>
        <w:fldChar w:fldCharType="begin"/>
      </w:r>
      <w:r>
        <w:instrText xml:space="preserve"> HYPERLINK \l "_Toc71192428" </w:instrText>
      </w:r>
      <w:r>
        <w:fldChar w:fldCharType="separate"/>
      </w:r>
      <w:r>
        <w:rPr>
          <w:rStyle w:val="23"/>
          <w:rFonts w:ascii="Times New Roman" w:hAnsi="Times New Roman" w:eastAsia="黑体"/>
        </w:rPr>
        <w:t>第十四章 统筹发展和安全，大力推进社会治理现代化</w:t>
      </w:r>
      <w:r>
        <w:tab/>
      </w:r>
      <w:r>
        <w:fldChar w:fldCharType="begin"/>
      </w:r>
      <w:r>
        <w:instrText xml:space="preserve"> PAGEREF _Toc71192428 \h </w:instrText>
      </w:r>
      <w:r>
        <w:fldChar w:fldCharType="separate"/>
      </w:r>
      <w:r>
        <w:t>120</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"_Toc71192429" </w:instrText>
      </w:r>
      <w:r>
        <w:fldChar w:fldCharType="separate"/>
      </w:r>
      <w:r>
        <w:rPr>
          <w:rStyle w:val="23"/>
          <w:rFonts w:ascii="Times New Roman" w:hAnsi="Times New Roman" w:eastAsia="楷体"/>
        </w:rPr>
        <w:t>第一节 高水平建设平安民权</w:t>
      </w:r>
      <w:r>
        <w:tab/>
      </w:r>
      <w:r>
        <w:fldChar w:fldCharType="begin"/>
      </w:r>
      <w:r>
        <w:instrText xml:space="preserve"> PAGEREF _Toc71192429 \h </w:instrText>
      </w:r>
      <w:r>
        <w:fldChar w:fldCharType="separate"/>
      </w:r>
      <w:r>
        <w:t>120</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"_Toc71192430" </w:instrText>
      </w:r>
      <w:r>
        <w:fldChar w:fldCharType="separate"/>
      </w:r>
      <w:r>
        <w:rPr>
          <w:rStyle w:val="23"/>
          <w:rFonts w:ascii="Times New Roman" w:hAnsi="Times New Roman" w:eastAsia="楷体"/>
        </w:rPr>
        <w:t>第二节 加强民主法治建设</w:t>
      </w:r>
      <w:r>
        <w:tab/>
      </w:r>
      <w:r>
        <w:fldChar w:fldCharType="begin"/>
      </w:r>
      <w:r>
        <w:instrText xml:space="preserve"> PAGEREF _Toc71192430 \h </w:instrText>
      </w:r>
      <w:r>
        <w:fldChar w:fldCharType="separate"/>
      </w:r>
      <w:r>
        <w:t>122</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"_Toc71192431" </w:instrText>
      </w:r>
      <w:r>
        <w:fldChar w:fldCharType="separate"/>
      </w:r>
      <w:r>
        <w:rPr>
          <w:rStyle w:val="23"/>
          <w:rFonts w:ascii="Times New Roman" w:hAnsi="Times New Roman" w:eastAsia="楷体"/>
        </w:rPr>
        <w:t>第三节 加强和创新社会治理</w:t>
      </w:r>
      <w:r>
        <w:tab/>
      </w:r>
      <w:r>
        <w:fldChar w:fldCharType="begin"/>
      </w:r>
      <w:r>
        <w:instrText xml:space="preserve"> PAGEREF _Toc71192431 \h </w:instrText>
      </w:r>
      <w:r>
        <w:fldChar w:fldCharType="separate"/>
      </w:r>
      <w:r>
        <w:t>123</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"_Toc71192432" </w:instrText>
      </w:r>
      <w:r>
        <w:fldChar w:fldCharType="separate"/>
      </w:r>
      <w:r>
        <w:rPr>
          <w:rStyle w:val="23"/>
          <w:rFonts w:ascii="Times New Roman" w:hAnsi="Times New Roman" w:eastAsia="楷体"/>
        </w:rPr>
        <w:t>第四节 全面提升应急管理能力</w:t>
      </w:r>
      <w:r>
        <w:tab/>
      </w:r>
      <w:r>
        <w:fldChar w:fldCharType="begin"/>
      </w:r>
      <w:r>
        <w:instrText xml:space="preserve"> PAGEREF _Toc71192432 \h </w:instrText>
      </w:r>
      <w:r>
        <w:fldChar w:fldCharType="separate"/>
      </w:r>
      <w:r>
        <w:t>125</w:t>
      </w:r>
      <w:r>
        <w:fldChar w:fldCharType="end"/>
      </w:r>
      <w:r>
        <w:fldChar w:fldCharType="end"/>
      </w:r>
    </w:p>
    <w:p>
      <w:pPr>
        <w:pStyle w:val="15"/>
        <w:rPr>
          <w:rFonts w:asciiTheme="minorHAnsi" w:hAnsiTheme="minorHAnsi" w:eastAsiaTheme="minorEastAsia" w:cstheme="minorBidi"/>
          <w:kern w:val="2"/>
          <w:sz w:val="21"/>
        </w:rPr>
      </w:pPr>
      <w:r>
        <w:fldChar w:fldCharType="begin"/>
      </w:r>
      <w:r>
        <w:instrText xml:space="preserve"> HYPERLINK \l "_Toc71192433" </w:instrText>
      </w:r>
      <w:r>
        <w:fldChar w:fldCharType="separate"/>
      </w:r>
      <w:r>
        <w:rPr>
          <w:rStyle w:val="23"/>
          <w:rFonts w:ascii="Times New Roman" w:hAnsi="Times New Roman" w:eastAsia="黑体"/>
        </w:rPr>
        <w:t>第十五章 加强规划实施保障</w:t>
      </w:r>
      <w:r>
        <w:tab/>
      </w:r>
      <w:r>
        <w:fldChar w:fldCharType="begin"/>
      </w:r>
      <w:r>
        <w:instrText xml:space="preserve"> PAGEREF _Toc71192433 \h </w:instrText>
      </w:r>
      <w:r>
        <w:fldChar w:fldCharType="separate"/>
      </w:r>
      <w:r>
        <w:t>126</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"_Toc71192434" </w:instrText>
      </w:r>
      <w:r>
        <w:fldChar w:fldCharType="separate"/>
      </w:r>
      <w:r>
        <w:rPr>
          <w:rStyle w:val="23"/>
          <w:rFonts w:ascii="Times New Roman" w:hAnsi="Times New Roman" w:eastAsia="楷体"/>
        </w:rPr>
        <w:t>第一节 坚持和加强党的全面领导</w:t>
      </w:r>
      <w:r>
        <w:tab/>
      </w:r>
      <w:r>
        <w:fldChar w:fldCharType="begin"/>
      </w:r>
      <w:r>
        <w:instrText xml:space="preserve"> PAGEREF _Toc71192434 \h </w:instrText>
      </w:r>
      <w:r>
        <w:fldChar w:fldCharType="separate"/>
      </w:r>
      <w:r>
        <w:t>126</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"_Toc71192435" </w:instrText>
      </w:r>
      <w:r>
        <w:fldChar w:fldCharType="separate"/>
      </w:r>
      <w:r>
        <w:rPr>
          <w:rStyle w:val="23"/>
          <w:rFonts w:ascii="Times New Roman" w:hAnsi="Times New Roman" w:eastAsia="楷体"/>
        </w:rPr>
        <w:t>第二节 完善规划实施机制</w:t>
      </w:r>
      <w:r>
        <w:tab/>
      </w:r>
      <w:r>
        <w:fldChar w:fldCharType="begin"/>
      </w:r>
      <w:r>
        <w:instrText xml:space="preserve"> PAGEREF _Toc71192435 \h </w:instrText>
      </w:r>
      <w:r>
        <w:fldChar w:fldCharType="separate"/>
      </w:r>
      <w:r>
        <w:t>127</w:t>
      </w:r>
      <w:r>
        <w:fldChar w:fldCharType="end"/>
      </w:r>
      <w:r>
        <w:fldChar w:fldCharType="end"/>
      </w:r>
    </w:p>
    <w:p>
      <w:pPr>
        <w:pStyle w:val="18"/>
        <w:tabs>
          <w:tab w:val="right" w:leader="dot" w:pos="8296"/>
        </w:tabs>
        <w:rPr>
          <w:rFonts w:asciiTheme="minorHAnsi" w:hAnsiTheme="minorHAnsi" w:eastAsiaTheme="minorEastAsia" w:cstheme="minorBidi"/>
          <w:kern w:val="2"/>
          <w:sz w:val="21"/>
        </w:rPr>
      </w:pPr>
      <w:r>
        <w:fldChar w:fldCharType="begin"/>
      </w:r>
      <w:r>
        <w:instrText xml:space="preserve"> HYPERLINK \l "_Toc71192436" </w:instrText>
      </w:r>
      <w:r>
        <w:fldChar w:fldCharType="separate"/>
      </w:r>
      <w:r>
        <w:rPr>
          <w:rStyle w:val="23"/>
          <w:rFonts w:ascii="Times New Roman" w:hAnsi="Times New Roman" w:eastAsia="楷体"/>
        </w:rPr>
        <w:t>第三节 形成全社会合力</w:t>
      </w:r>
      <w:r>
        <w:tab/>
      </w:r>
      <w:r>
        <w:fldChar w:fldCharType="begin"/>
      </w:r>
      <w:r>
        <w:instrText xml:space="preserve"> PAGEREF _Toc71192436 \h </w:instrText>
      </w:r>
      <w:r>
        <w:fldChar w:fldCharType="separate"/>
      </w:r>
      <w:r>
        <w:t>127</w:t>
      </w:r>
      <w:r>
        <w:fldChar w:fldCharType="end"/>
      </w:r>
      <w:r>
        <w:fldChar w:fldCharType="end"/>
      </w:r>
    </w:p>
    <w:p>
      <w:pPr>
        <w:rPr>
          <w:rFonts w:ascii="仿宋_GB2312" w:hAnsi="华文仿宋" w:eastAsia="仿宋_GB2312"/>
          <w:color w:val="000000" w:themeColor="text1"/>
          <w:sz w:val="32"/>
          <w:szCs w:val="32"/>
          <w14:textFill>
            <w14:solidFill>
              <w14:schemeClr w14:val="tx1"/>
            </w14:solidFill>
          </w14:textFill>
        </w:rPr>
      </w:pPr>
      <w:r>
        <w:rPr>
          <w:rFonts w:ascii="仿宋_GB2312" w:hAnsi="华文仿宋" w:eastAsia="仿宋_GB2312"/>
          <w:color w:val="000000" w:themeColor="text1"/>
          <w:sz w:val="32"/>
          <w:szCs w:val="32"/>
          <w14:textFill>
            <w14:solidFill>
              <w14:schemeClr w14:val="tx1"/>
            </w14:solidFill>
          </w14:textFill>
        </w:rPr>
        <w:fldChar w:fldCharType="end"/>
      </w:r>
    </w:p>
    <w:p>
      <w:pPr>
        <w:widowControl/>
        <w:jc w:val="left"/>
        <w:rPr>
          <w:rFonts w:ascii="仿宋_GB2312" w:hAnsi="华文仿宋" w:eastAsia="仿宋_GB2312"/>
          <w:color w:val="000000" w:themeColor="text1"/>
          <w:sz w:val="32"/>
          <w:szCs w:val="32"/>
          <w14:textFill>
            <w14:solidFill>
              <w14:schemeClr w14:val="tx1"/>
            </w14:solidFill>
          </w14:textFill>
        </w:rPr>
      </w:pPr>
      <w:r>
        <w:rPr>
          <w:rFonts w:ascii="仿宋_GB2312" w:hAnsi="华文仿宋" w:eastAsia="仿宋_GB2312"/>
          <w:color w:val="000000" w:themeColor="text1"/>
          <w:sz w:val="32"/>
          <w:szCs w:val="32"/>
          <w14:textFill>
            <w14:solidFill>
              <w14:schemeClr w14:val="tx1"/>
            </w14:solidFill>
          </w14:textFill>
        </w:rPr>
        <w:br w:type="page"/>
      </w:r>
    </w:p>
    <w:p>
      <w:pPr>
        <w:rPr>
          <w:rFonts w:ascii="仿宋_GB2312" w:hAnsi="华文仿宋" w:eastAsia="仿宋_GB2312"/>
          <w:color w:val="000000" w:themeColor="text1"/>
          <w:sz w:val="32"/>
          <w:szCs w:val="32"/>
          <w14:textFill>
            <w14:solidFill>
              <w14:schemeClr w14:val="tx1"/>
            </w14:solidFill>
          </w14:textFill>
        </w:rPr>
        <w:sectPr>
          <w:footerReference r:id="rId5" w:type="default"/>
          <w:type w:val="continuous"/>
          <w:pgSz w:w="11906" w:h="16838"/>
          <w:pgMar w:top="1440" w:right="1800" w:bottom="1440" w:left="1800" w:header="851" w:footer="992" w:gutter="0"/>
          <w:pgNumType w:fmt="upperRoman" w:start="1"/>
          <w:cols w:space="425" w:num="1"/>
          <w:docGrid w:type="lines" w:linePitch="312" w:charSpace="0"/>
        </w:sectPr>
      </w:pPr>
    </w:p>
    <w:p>
      <w:pPr>
        <w:pStyle w:val="2"/>
        <w:adjustRightInd w:val="0"/>
        <w:snapToGrid w:val="0"/>
        <w:spacing w:before="156" w:beforeLines="50" w:after="156" w:afterLines="50" w:line="240" w:lineRule="auto"/>
        <w:jc w:val="center"/>
        <w:rPr>
          <w:rFonts w:ascii="Times New Roman" w:hAnsi="Times New Roman" w:eastAsia="黑体"/>
          <w:b w:val="0"/>
          <w:color w:val="000000" w:themeColor="text1"/>
          <w:sz w:val="32"/>
          <w14:textFill>
            <w14:solidFill>
              <w14:schemeClr w14:val="tx1"/>
            </w14:solidFill>
          </w14:textFill>
        </w:rPr>
      </w:pPr>
      <w:bookmarkStart w:id="1" w:name="_Toc71192343"/>
      <w:r>
        <w:rPr>
          <w:rFonts w:hint="eastAsia" w:ascii="Times New Roman" w:hAnsi="Times New Roman" w:eastAsia="黑体"/>
          <w:b w:val="0"/>
          <w:color w:val="000000" w:themeColor="text1"/>
          <w:sz w:val="32"/>
          <w14:textFill>
            <w14:solidFill>
              <w14:schemeClr w14:val="tx1"/>
            </w14:solidFill>
          </w14:textFill>
        </w:rPr>
        <w:t>序  言</w:t>
      </w:r>
      <w:bookmarkEnd w:id="1"/>
    </w:p>
    <w:p>
      <w:pPr>
        <w:ind w:firstLine="640"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民权县国民经济和社会发展第十四个五年规划和二〇三五年远景目标纲要，根据《中共民权县委关于制定民权县国民经济和社会发展第十四个五年规划和二〇三五年远景目标的建议》编制，主要阐明“十四五”时期全县战略意图，明确政府工作重点，引导规范市场主体行为，统筹重大战略和重大举措时空安排，是政府履行经济调节、市场监管、社会管理、公共服务、生态保护等职责的重要依据，是开启全面建设社会主义现代化民权新征程的宏伟蓝图，是全县人民共同奋斗的行动纲领。</w:t>
      </w:r>
    </w:p>
    <w:p>
      <w:pPr>
        <w:widowControl/>
        <w:jc w:val="left"/>
        <w:rPr>
          <w:rFonts w:ascii="仿宋_GB2312" w:hAnsi="华文仿宋" w:eastAsia="仿宋_GB2312"/>
          <w:color w:val="000000" w:themeColor="text1"/>
          <w:sz w:val="32"/>
          <w:szCs w:val="32"/>
          <w14:textFill>
            <w14:solidFill>
              <w14:schemeClr w14:val="tx1"/>
            </w14:solidFill>
          </w14:textFill>
        </w:rPr>
      </w:pPr>
      <w:r>
        <w:rPr>
          <w:rFonts w:ascii="仿宋_GB2312" w:hAnsi="华文仿宋" w:eastAsia="仿宋_GB2312"/>
          <w:color w:val="000000" w:themeColor="text1"/>
          <w:sz w:val="32"/>
          <w:szCs w:val="32"/>
          <w14:textFill>
            <w14:solidFill>
              <w14:schemeClr w14:val="tx1"/>
            </w14:solidFill>
          </w14:textFill>
        </w:rPr>
        <w:br w:type="page"/>
      </w:r>
    </w:p>
    <w:bookmarkEnd w:id="0"/>
    <w:p>
      <w:pPr>
        <w:pStyle w:val="2"/>
        <w:adjustRightInd w:val="0"/>
        <w:snapToGrid w:val="0"/>
        <w:spacing w:before="156" w:beforeLines="50" w:after="156" w:afterLines="50" w:line="240" w:lineRule="auto"/>
        <w:jc w:val="center"/>
        <w:rPr>
          <w:rFonts w:ascii="Times New Roman" w:hAnsi="Times New Roman" w:eastAsia="黑体"/>
          <w:b w:val="0"/>
          <w:color w:val="000000" w:themeColor="text1"/>
          <w:sz w:val="32"/>
          <w14:textFill>
            <w14:solidFill>
              <w14:schemeClr w14:val="tx1"/>
            </w14:solidFill>
          </w14:textFill>
        </w:rPr>
      </w:pPr>
      <w:bookmarkStart w:id="2" w:name="_Toc71192344"/>
      <w:bookmarkStart w:id="3" w:name="_Toc50299576"/>
      <w:bookmarkStart w:id="4" w:name="_Toc62400237"/>
      <w:r>
        <w:rPr>
          <w:rFonts w:hint="eastAsia" w:ascii="Times New Roman" w:hAnsi="Times New Roman" w:eastAsia="黑体"/>
          <w:b w:val="0"/>
          <w:color w:val="000000" w:themeColor="text1"/>
          <w:sz w:val="32"/>
          <w14:textFill>
            <w14:solidFill>
              <w14:schemeClr w14:val="tx1"/>
            </w14:solidFill>
          </w14:textFill>
        </w:rPr>
        <w:t>第一章 开启全面建设社会主义现代化民权新征程</w:t>
      </w:r>
      <w:bookmarkEnd w:id="2"/>
    </w:p>
    <w:p>
      <w:pPr>
        <w:ind w:firstLine="640" w:firstLineChars="200"/>
        <w:rPr>
          <w:rFonts w:ascii="仿宋_GB2312" w:hAnsi="华文仿宋" w:eastAsia="仿宋_GB2312"/>
          <w:color w:val="000000" w:themeColor="text1"/>
          <w:sz w:val="32"/>
          <w:szCs w:val="32"/>
          <w14:textFill>
            <w14:solidFill>
              <w14:schemeClr w14:val="tx1"/>
            </w14:solidFill>
          </w14:textFill>
        </w:rPr>
      </w:pPr>
      <w:r>
        <w:rPr>
          <w:rFonts w:ascii="仿宋_GB2312" w:hAnsi="华文仿宋" w:eastAsia="仿宋_GB2312"/>
          <w:color w:val="000000" w:themeColor="text1"/>
          <w:sz w:val="32"/>
          <w:szCs w:val="32"/>
          <w14:textFill>
            <w14:solidFill>
              <w14:schemeClr w14:val="tx1"/>
            </w14:solidFill>
          </w14:textFill>
        </w:rPr>
        <w:t>“十四五”时期，是我</w:t>
      </w:r>
      <w:r>
        <w:rPr>
          <w:rFonts w:hint="eastAsia" w:ascii="仿宋_GB2312" w:hAnsi="华文仿宋" w:eastAsia="仿宋_GB2312"/>
          <w:color w:val="000000" w:themeColor="text1"/>
          <w:sz w:val="32"/>
          <w:szCs w:val="32"/>
          <w14:textFill>
            <w14:solidFill>
              <w14:schemeClr w14:val="tx1"/>
            </w14:solidFill>
          </w14:textFill>
        </w:rPr>
        <w:t>县</w:t>
      </w:r>
      <w:r>
        <w:rPr>
          <w:rFonts w:ascii="仿宋_GB2312" w:hAnsi="华文仿宋" w:eastAsia="仿宋_GB2312"/>
          <w:color w:val="000000" w:themeColor="text1"/>
          <w:sz w:val="32"/>
          <w:szCs w:val="32"/>
          <w14:textFill>
            <w14:solidFill>
              <w14:schemeClr w14:val="tx1"/>
            </w14:solidFill>
          </w14:textFill>
        </w:rPr>
        <w:t>开启全面建设社会主义现代化新征程、谱写新时代中原更加出彩民权绚丽篇章的关键时期，是推动高质量发展的转型攻坚期。必须全面贯彻落实党的十九届五中全会精神和</w:t>
      </w:r>
      <w:r>
        <w:rPr>
          <w:rFonts w:hint="eastAsia" w:ascii="仿宋_GB2312" w:hAnsi="华文仿宋" w:eastAsia="仿宋_GB2312"/>
          <w:color w:val="000000" w:themeColor="text1"/>
          <w:sz w:val="32"/>
          <w:szCs w:val="32"/>
          <w14:textFill>
            <w14:solidFill>
              <w14:schemeClr w14:val="tx1"/>
            </w14:solidFill>
          </w14:textFill>
        </w:rPr>
        <w:t>中央、</w:t>
      </w:r>
      <w:r>
        <w:rPr>
          <w:rFonts w:ascii="仿宋_GB2312" w:hAnsi="华文仿宋" w:eastAsia="仿宋_GB2312"/>
          <w:color w:val="000000" w:themeColor="text1"/>
          <w:sz w:val="32"/>
          <w:szCs w:val="32"/>
          <w14:textFill>
            <w14:solidFill>
              <w14:schemeClr w14:val="tx1"/>
            </w14:solidFill>
          </w14:textFill>
        </w:rPr>
        <w:t>省委、市委</w:t>
      </w:r>
      <w:r>
        <w:rPr>
          <w:rFonts w:hint="eastAsia" w:ascii="仿宋_GB2312" w:hAnsi="华文仿宋" w:eastAsia="仿宋_GB2312"/>
          <w:color w:val="000000" w:themeColor="text1"/>
          <w:sz w:val="32"/>
          <w:szCs w:val="32"/>
          <w14:textFill>
            <w14:solidFill>
              <w14:schemeClr w14:val="tx1"/>
            </w14:solidFill>
          </w14:textFill>
        </w:rPr>
        <w:t>、</w:t>
      </w:r>
      <w:r>
        <w:rPr>
          <w:rFonts w:ascii="仿宋_GB2312" w:hAnsi="华文仿宋" w:eastAsia="仿宋_GB2312"/>
          <w:color w:val="000000" w:themeColor="text1"/>
          <w:sz w:val="32"/>
          <w:szCs w:val="32"/>
          <w14:textFill>
            <w14:solidFill>
              <w14:schemeClr w14:val="tx1"/>
            </w14:solidFill>
          </w14:textFill>
        </w:rPr>
        <w:t>县委决策部署，立足新发展阶段、贯彻新发展理念、融入新发展格局，奋力开启现代化</w:t>
      </w:r>
      <w:r>
        <w:rPr>
          <w:rFonts w:hint="eastAsia" w:ascii="仿宋_GB2312" w:hAnsi="华文仿宋" w:eastAsia="仿宋_GB2312"/>
          <w:color w:val="000000" w:themeColor="text1"/>
          <w:sz w:val="32"/>
          <w:szCs w:val="32"/>
          <w14:textFill>
            <w14:solidFill>
              <w14:schemeClr w14:val="tx1"/>
            </w14:solidFill>
          </w14:textFill>
        </w:rPr>
        <w:t>民权</w:t>
      </w:r>
      <w:r>
        <w:rPr>
          <w:rFonts w:ascii="仿宋_GB2312" w:hAnsi="华文仿宋" w:eastAsia="仿宋_GB2312"/>
          <w:color w:val="000000" w:themeColor="text1"/>
          <w:sz w:val="32"/>
          <w:szCs w:val="32"/>
          <w14:textFill>
            <w14:solidFill>
              <w14:schemeClr w14:val="tx1"/>
            </w14:solidFill>
          </w14:textFill>
        </w:rPr>
        <w:t>建设新局面。</w:t>
      </w:r>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5" w:name="_Toc71192345"/>
      <w:r>
        <w:rPr>
          <w:rFonts w:hint="eastAsia" w:ascii="Times New Roman" w:hAnsi="Times New Roman" w:eastAsia="楷体"/>
          <w:bCs w:val="0"/>
          <w:color w:val="000000" w:themeColor="text1"/>
          <w:szCs w:val="20"/>
          <w14:textFill>
            <w14:solidFill>
              <w14:schemeClr w14:val="tx1"/>
            </w14:solidFill>
          </w14:textFill>
        </w:rPr>
        <w:t>第一节 决胜全面建成小康社会取得决定性成就</w:t>
      </w:r>
      <w:bookmarkEnd w:id="5"/>
    </w:p>
    <w:p>
      <w:pPr>
        <w:ind w:firstLine="640"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十三五”以来，民权县以供给侧结构性改革为主线，认真落实中央、省、市各项决策部署，坚持“凝心聚力，务实重干，稳中求进，富民强县”总要求，紧扣功能定位和目标任务，统筹安排稳增长、促改革、调结构、惠民生、防风险等各项工作，着力打好“三大攻坚战”，有效应对复杂多变的外部环境，实现经济较快增长和社会稳定发展，全县各项事业呈现良好发展态势。</w:t>
      </w:r>
    </w:p>
    <w:p>
      <w:pPr>
        <w:ind w:firstLine="643" w:firstLineChars="200"/>
        <w:rPr>
          <w:rFonts w:ascii="仿宋_GB2312" w:hAnsi="华文仿宋" w:eastAsia="仿宋_GB2312"/>
          <w:color w:val="000000" w:themeColor="text1"/>
          <w:sz w:val="32"/>
          <w:szCs w:val="32"/>
          <w14:textFill>
            <w14:solidFill>
              <w14:schemeClr w14:val="tx1"/>
            </w14:solidFill>
          </w14:textFill>
        </w:rPr>
      </w:pPr>
      <w:bookmarkStart w:id="6" w:name="_Toc51309176"/>
      <w:r>
        <w:rPr>
          <w:rFonts w:hint="eastAsia" w:ascii="仿宋_GB2312" w:hAnsi="华文仿宋" w:eastAsia="仿宋_GB2312"/>
          <w:b/>
          <w:color w:val="000000" w:themeColor="text1"/>
          <w:sz w:val="32"/>
          <w:szCs w:val="32"/>
          <w14:textFill>
            <w14:solidFill>
              <w14:schemeClr w14:val="tx1"/>
            </w14:solidFill>
          </w14:textFill>
        </w:rPr>
        <w:t>综合实力显著增强</w:t>
      </w:r>
      <w:bookmarkEnd w:id="6"/>
      <w:r>
        <w:rPr>
          <w:rFonts w:hint="eastAsia" w:ascii="仿宋_GB2312" w:hAnsi="华文仿宋" w:eastAsia="仿宋_GB2312"/>
          <w:b/>
          <w:color w:val="000000" w:themeColor="text1"/>
          <w:sz w:val="32"/>
          <w:szCs w:val="32"/>
          <w14:textFill>
            <w14:solidFill>
              <w14:schemeClr w14:val="tx1"/>
            </w14:solidFill>
          </w14:textFill>
        </w:rPr>
        <w:t>。</w:t>
      </w:r>
      <w:r>
        <w:rPr>
          <w:rFonts w:hint="eastAsia" w:ascii="仿宋_GB2312" w:hAnsi="华文仿宋" w:eastAsia="仿宋_GB2312"/>
          <w:color w:val="000000" w:themeColor="text1"/>
          <w:sz w:val="32"/>
          <w:szCs w:val="32"/>
          <w14:textFill>
            <w14:solidFill>
              <w14:schemeClr w14:val="tx1"/>
            </w14:solidFill>
          </w14:textFill>
        </w:rPr>
        <w:t>“十三五”时期，民权县经济综合实力稳居全市前列。2020年实现生产总值275.5亿元，年均增长3.8%；实现人均地区生产总值39357元（预计），年均增长7.2%；全县财政总收入达到</w:t>
      </w:r>
      <w:r>
        <w:rPr>
          <w:rFonts w:ascii="仿宋_GB2312" w:hAnsi="华文仿宋" w:eastAsia="仿宋_GB2312"/>
          <w:color w:val="000000" w:themeColor="text1"/>
          <w:sz w:val="32"/>
          <w:szCs w:val="32"/>
          <w14:textFill>
            <w14:solidFill>
              <w14:schemeClr w14:val="tx1"/>
            </w14:solidFill>
          </w14:textFill>
        </w:rPr>
        <w:t>14.</w:t>
      </w:r>
      <w:r>
        <w:rPr>
          <w:rFonts w:hint="eastAsia" w:ascii="仿宋_GB2312" w:hAnsi="华文仿宋" w:eastAsia="仿宋_GB2312"/>
          <w:color w:val="000000" w:themeColor="text1"/>
          <w:sz w:val="32"/>
          <w:szCs w:val="32"/>
          <w14:textFill>
            <w14:solidFill>
              <w14:schemeClr w14:val="tx1"/>
            </w14:solidFill>
          </w14:textFill>
        </w:rPr>
        <w:t>5亿元，比期初增加44.5%；固定资产投资增速连年高于全市平均水平，经济实力显著增强。</w:t>
      </w:r>
    </w:p>
    <w:p>
      <w:pPr>
        <w:ind w:firstLine="643" w:firstLineChars="200"/>
        <w:rPr>
          <w:rFonts w:ascii="仿宋_GB2312" w:hAnsi="华文仿宋" w:eastAsia="仿宋_GB2312"/>
          <w:color w:val="000000" w:themeColor="text1"/>
          <w:sz w:val="32"/>
          <w:szCs w:val="32"/>
          <w14:textFill>
            <w14:solidFill>
              <w14:schemeClr w14:val="tx1"/>
            </w14:solidFill>
          </w14:textFill>
        </w:rPr>
      </w:pPr>
      <w:bookmarkStart w:id="7" w:name="_Toc51309177"/>
      <w:r>
        <w:rPr>
          <w:rFonts w:hint="eastAsia" w:ascii="仿宋_GB2312" w:hAnsi="华文仿宋" w:eastAsia="仿宋_GB2312"/>
          <w:b/>
          <w:color w:val="000000" w:themeColor="text1"/>
          <w:sz w:val="32"/>
          <w:szCs w:val="32"/>
          <w14:textFill>
            <w14:solidFill>
              <w14:schemeClr w14:val="tx1"/>
            </w14:solidFill>
          </w14:textFill>
        </w:rPr>
        <w:t>产业</w:t>
      </w:r>
      <w:bookmarkEnd w:id="7"/>
      <w:r>
        <w:rPr>
          <w:rFonts w:hint="eastAsia" w:ascii="仿宋_GB2312" w:hAnsi="华文仿宋" w:eastAsia="仿宋_GB2312"/>
          <w:b/>
          <w:color w:val="000000" w:themeColor="text1"/>
          <w:sz w:val="32"/>
          <w:szCs w:val="32"/>
          <w14:textFill>
            <w14:solidFill>
              <w14:schemeClr w14:val="tx1"/>
            </w14:solidFill>
          </w14:textFill>
        </w:rPr>
        <w:t>升级步伐加快。</w:t>
      </w:r>
      <w:r>
        <w:rPr>
          <w:rFonts w:hint="eastAsia" w:ascii="仿宋_GB2312" w:hAnsi="华文仿宋" w:eastAsia="仿宋_GB2312"/>
          <w:color w:val="000000" w:themeColor="text1"/>
          <w:sz w:val="32"/>
          <w:szCs w:val="32"/>
          <w14:textFill>
            <w14:solidFill>
              <w14:schemeClr w14:val="tx1"/>
            </w14:solidFill>
          </w14:textFill>
        </w:rPr>
        <w:t>全县三次产业结构实现由“二三一”到“三二一”的历史性转变。连续六年获评全市工业经济发展先进县。获批国家火炬计划民权制冷设备特色产业基地。高新区晋升为三星级产业集聚区,</w:t>
      </w:r>
      <w:r>
        <w:rPr>
          <w:rFonts w:ascii="仿宋_GB2312" w:hAnsi="华文仿宋" w:eastAsia="仿宋_GB2312"/>
          <w:color w:val="000000" w:themeColor="text1"/>
          <w:sz w:val="32"/>
          <w:szCs w:val="32"/>
          <w14:textFill>
            <w14:solidFill>
              <w14:schemeClr w14:val="tx1"/>
            </w14:solidFill>
          </w14:textFill>
        </w:rPr>
        <w:t>3次代表商丘参加全省产业集聚区观摩评比，均获得黄淮四市第一名</w:t>
      </w:r>
      <w:r>
        <w:rPr>
          <w:rFonts w:hint="eastAsia" w:ascii="仿宋_GB2312" w:hAnsi="华文仿宋" w:eastAsia="仿宋_GB2312"/>
          <w:color w:val="000000" w:themeColor="text1"/>
          <w:sz w:val="32"/>
          <w:szCs w:val="32"/>
          <w14:textFill>
            <w14:solidFill>
              <w14:schemeClr w14:val="tx1"/>
            </w14:solidFill>
          </w14:textFill>
        </w:rPr>
        <w:t>。特色商业区跻身全省“二十强”，晋升为四星级服务业“两区”。保税物流中心（B型）封关运营，通用机场和民权静脉产业园开工建设。粮食总产量连续5年稳定在66万吨以上，一如既往扛稳粮食安全重任。全县高标准良田共58.1万亩，建成8大无公害蔬菜生产基地，市级以上农业产业化龙头企业和联合体数量位居全市各县区之首，荣获“全国休闲农业与乡村旅游示范县”称号。</w:t>
      </w:r>
    </w:p>
    <w:p>
      <w:pPr>
        <w:ind w:firstLine="643" w:firstLineChars="200"/>
        <w:rPr>
          <w:rFonts w:ascii="仿宋_GB2312" w:hAnsi="华文仿宋" w:eastAsia="仿宋_GB2312"/>
          <w:color w:val="000000" w:themeColor="text1"/>
          <w:sz w:val="32"/>
          <w:szCs w:val="32"/>
          <w14:textFill>
            <w14:solidFill>
              <w14:schemeClr w14:val="tx1"/>
            </w14:solidFill>
          </w14:textFill>
        </w:rPr>
      </w:pPr>
      <w:bookmarkStart w:id="8" w:name="_Toc51309178"/>
      <w:r>
        <w:rPr>
          <w:rFonts w:hint="eastAsia" w:ascii="仿宋_GB2312" w:hAnsi="华文仿宋" w:eastAsia="仿宋_GB2312"/>
          <w:b/>
          <w:color w:val="000000" w:themeColor="text1"/>
          <w:sz w:val="32"/>
          <w:szCs w:val="32"/>
          <w14:textFill>
            <w14:solidFill>
              <w14:schemeClr w14:val="tx1"/>
            </w14:solidFill>
          </w14:textFill>
        </w:rPr>
        <w:t>创新能力稳步</w:t>
      </w:r>
      <w:bookmarkEnd w:id="8"/>
      <w:r>
        <w:rPr>
          <w:rFonts w:hint="eastAsia" w:ascii="仿宋_GB2312" w:hAnsi="华文仿宋" w:eastAsia="仿宋_GB2312"/>
          <w:b/>
          <w:color w:val="000000" w:themeColor="text1"/>
          <w:sz w:val="32"/>
          <w:szCs w:val="32"/>
          <w14:textFill>
            <w14:solidFill>
              <w14:schemeClr w14:val="tx1"/>
            </w14:solidFill>
          </w14:textFill>
        </w:rPr>
        <w:t>提升。</w:t>
      </w:r>
      <w:r>
        <w:rPr>
          <w:rFonts w:hint="eastAsia" w:ascii="仿宋_GB2312" w:hAnsi="华文仿宋" w:eastAsia="仿宋_GB2312"/>
          <w:color w:val="000000" w:themeColor="text1"/>
          <w:sz w:val="32"/>
          <w:szCs w:val="32"/>
          <w14:textFill>
            <w14:solidFill>
              <w14:schemeClr w14:val="tx1"/>
            </w14:solidFill>
          </w14:textFill>
        </w:rPr>
        <w:t>成功获批中西部地区首个国家级制冷检验机构“国家冷冻冷藏设备质量检验中心（河南）”。省级葡萄酒检测中心顺利通过复评。高新技术企业数量、驰（著）名商标数量均位居全市第一，全市唯有的两家国家级星创天地均落户我县。设计研发的物联网智能冰箱填补了国内产品空白。建设了北京大学中国持续发展研究中心河南（民权）研究基地，与浙江大学合作共建了双创综合体。组建“民权博士团”，弹性和柔性人才工作机制取得重要进展。</w:t>
      </w:r>
    </w:p>
    <w:p>
      <w:pPr>
        <w:ind w:firstLine="643" w:firstLineChars="200"/>
        <w:rPr>
          <w:rFonts w:ascii="仿宋_GB2312" w:hAnsi="华文仿宋" w:eastAsia="仿宋_GB2312"/>
          <w:color w:val="000000" w:themeColor="text1"/>
          <w:sz w:val="32"/>
          <w:szCs w:val="32"/>
          <w14:textFill>
            <w14:solidFill>
              <w14:schemeClr w14:val="tx1"/>
            </w14:solidFill>
          </w14:textFill>
        </w:rPr>
      </w:pPr>
      <w:bookmarkStart w:id="9" w:name="_Toc51309179"/>
      <w:r>
        <w:rPr>
          <w:rFonts w:hint="eastAsia" w:ascii="仿宋_GB2312" w:hAnsi="华文仿宋" w:eastAsia="仿宋_GB2312"/>
          <w:b/>
          <w:color w:val="000000" w:themeColor="text1"/>
          <w:sz w:val="32"/>
          <w:szCs w:val="32"/>
          <w14:textFill>
            <w14:solidFill>
              <w14:schemeClr w14:val="tx1"/>
            </w14:solidFill>
          </w14:textFill>
        </w:rPr>
        <w:t>开放合作纵深发展</w:t>
      </w:r>
      <w:bookmarkEnd w:id="9"/>
      <w:r>
        <w:rPr>
          <w:rFonts w:hint="eastAsia" w:ascii="仿宋_GB2312" w:hAnsi="华文仿宋" w:eastAsia="仿宋_GB2312"/>
          <w:b/>
          <w:color w:val="000000" w:themeColor="text1"/>
          <w:sz w:val="32"/>
          <w:szCs w:val="32"/>
          <w14:textFill>
            <w14:solidFill>
              <w14:schemeClr w14:val="tx1"/>
            </w14:solidFill>
          </w14:textFill>
        </w:rPr>
        <w:t>。</w:t>
      </w:r>
      <w:r>
        <w:rPr>
          <w:rFonts w:hint="eastAsia" w:ascii="仿宋_GB2312" w:hAnsi="华文仿宋" w:eastAsia="仿宋_GB2312"/>
          <w:color w:val="000000" w:themeColor="text1"/>
          <w:sz w:val="32"/>
          <w:szCs w:val="32"/>
          <w14:textFill>
            <w14:solidFill>
              <w14:schemeClr w14:val="tx1"/>
            </w14:solidFill>
          </w14:textFill>
        </w:rPr>
        <w:t>进出口总额连年完成市定目标任务，落地重大招商项目73个，其中10亿元以上项目3个，连续5年取得全市先进。成功举办六届中国制冷博览会。制冷产业链招商实现突破性进展，产品零配件实现区内全配套。成立了中科院制冷专业院士工作站，30多家制冷企业分别与江南大学、郑州大学、天津大学等高校建立校企合作。</w:t>
      </w:r>
    </w:p>
    <w:p>
      <w:pPr>
        <w:ind w:firstLine="643"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城乡建设统筹推进。</w:t>
      </w:r>
      <w:r>
        <w:rPr>
          <w:rFonts w:hint="eastAsia" w:ascii="仿宋_GB2312" w:hAnsi="华文仿宋" w:eastAsia="仿宋_GB2312"/>
          <w:color w:val="000000" w:themeColor="text1"/>
          <w:sz w:val="32"/>
          <w:szCs w:val="32"/>
          <w14:textFill>
            <w14:solidFill>
              <w14:schemeClr w14:val="tx1"/>
            </w14:solidFill>
          </w14:textFill>
        </w:rPr>
        <w:t>城镇化率增幅位居全市前列，中心城区面积由34平方公里扩大至60平方公里。百城建设提质工程成效显著，新区功能进一步完善，旧城更新稳步推进，城市品质不断提升。成功创建省级园林达标单位19个、小区13个，荣获“国家园林县城”“省级文明城市”称号，入选全国文明城市提名城市。乡镇和农村面貌全面提升，取得全市农村人居环境观摩总成绩第一名。交通基础设施建设取得突破性进展，高铁站正式启用，通航机场、阳新高速开工建设，沿黄高速项目启动，高铁、普铁、公路、航空立体化交通网络格局基本形成。中心城区公交线路实现全覆盖，全县行政村通沥青（水泥）路比率100%，成功创建省级第一批“万村通客车提质工程示范县”。乡镇集镇区污水处理厂实现了全覆盖，县城三个污水处理厂实现互通联网运行，在全省率先实行城市供排水一体化运营管理。</w:t>
      </w:r>
    </w:p>
    <w:p>
      <w:pPr>
        <w:ind w:firstLine="643"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“三大攻坚”成效显著</w:t>
      </w:r>
      <w:r>
        <w:rPr>
          <w:rFonts w:hint="eastAsia" w:ascii="仿宋_GB2312" w:hAnsi="华文仿宋" w:eastAsia="仿宋_GB2312"/>
          <w:color w:val="000000" w:themeColor="text1"/>
          <w:sz w:val="32"/>
          <w:szCs w:val="32"/>
          <w14:textFill>
            <w14:solidFill>
              <w14:schemeClr w14:val="tx1"/>
            </w14:solidFill>
          </w14:textFill>
        </w:rPr>
        <w:t>。脱贫攻坚任务圆满完成，全县129个建档立卡贫困村、26238户83358名贫困人口全部实现稳定脱贫，2019年正式退出贫困县序列。在全省扶贫资金绩效考评中获得优秀位次，在代表河南省接受国务院脱贫攻坚督查巡查中，三项工作经验被写入督查巡查报告。污染防治成效显著，集中式饮用水水源地水质连续10年达标率100%，大气环境质量全面提升，主要污染物排放总量削减任务全面完成，创建省级生态乡镇19个、生态村30个，林木覆盖率由29%提高至35.48%，净增6.48个百分点，被认定为全市唯一的省级森林城市。防范化解重大风险能力全面提升，非法集资新发案件持续下降，政府性债务保持在安全合理范围，全县未发生重大金融风险事件。</w:t>
      </w:r>
    </w:p>
    <w:p>
      <w:pPr>
        <w:ind w:firstLine="643" w:firstLineChars="200"/>
        <w:rPr>
          <w:rFonts w:ascii="仿宋_GB2312" w:hAnsi="华文仿宋" w:eastAsia="仿宋_GB2312"/>
          <w:color w:val="000000" w:themeColor="text1"/>
          <w:sz w:val="32"/>
          <w:szCs w:val="32"/>
          <w14:textFill>
            <w14:solidFill>
              <w14:schemeClr w14:val="tx1"/>
            </w14:solidFill>
          </w14:textFill>
        </w:rPr>
      </w:pPr>
      <w:bookmarkStart w:id="10" w:name="_Toc51309183"/>
      <w:r>
        <w:rPr>
          <w:rFonts w:hint="eastAsia" w:ascii="仿宋_GB2312" w:hAnsi="华文仿宋" w:eastAsia="仿宋_GB2312"/>
          <w:b/>
          <w:color w:val="000000" w:themeColor="text1"/>
          <w:sz w:val="32"/>
          <w:szCs w:val="32"/>
          <w14:textFill>
            <w14:solidFill>
              <w14:schemeClr w14:val="tx1"/>
            </w14:solidFill>
          </w14:textFill>
        </w:rPr>
        <w:t>民生福祉明显改善</w:t>
      </w:r>
      <w:bookmarkEnd w:id="10"/>
      <w:r>
        <w:rPr>
          <w:rFonts w:hint="eastAsia" w:ascii="仿宋_GB2312" w:hAnsi="华文仿宋" w:eastAsia="仿宋_GB2312"/>
          <w:b/>
          <w:color w:val="000000" w:themeColor="text1"/>
          <w:sz w:val="32"/>
          <w:szCs w:val="32"/>
          <w14:textFill>
            <w14:solidFill>
              <w14:schemeClr w14:val="tx1"/>
            </w14:solidFill>
          </w14:textFill>
        </w:rPr>
        <w:t>。</w:t>
      </w:r>
      <w:r>
        <w:rPr>
          <w:rFonts w:hint="eastAsia" w:ascii="仿宋_GB2312" w:hAnsi="华文仿宋" w:eastAsia="仿宋_GB2312"/>
          <w:color w:val="000000" w:themeColor="text1"/>
          <w:sz w:val="32"/>
          <w:szCs w:val="32"/>
          <w14:textFill>
            <w14:solidFill>
              <w14:schemeClr w14:val="tx1"/>
            </w14:solidFill>
          </w14:textFill>
        </w:rPr>
        <w:t>全县居民人均可支配收入持续高于经济增长水平，农村居民可支配收入增速连续三年居全市前列。民政产业园项目有序推进，民政“双百一千”工程全面完成。覆盖城乡的公共文化服务体系基本形成，被评为“河南省公共文化服务示范区”“河南省文化先进县”。义务教育基本均衡发展通过国家评估验收，民权高中项目建设持续推进。5个乡镇卫生院完成改扩建，</w:t>
      </w:r>
      <w:r>
        <w:rPr>
          <w:rFonts w:hint="eastAsia" w:ascii="仿宋" w:hAnsi="仿宋" w:eastAsia="仿宋" w:cs="仿宋"/>
          <w:color w:val="000000" w:themeColor="text1"/>
          <w:sz w:val="32"/>
          <w:szCs w:val="32"/>
          <w14:textFill>
            <w14:solidFill>
              <w14:schemeClr w14:val="tx1"/>
            </w14:solidFill>
          </w14:textFill>
        </w:rPr>
        <w:t>卫生应急医疗救治体系基本建成，综合医院服务能力显著提升，</w:t>
      </w:r>
      <w:r>
        <w:rPr>
          <w:rFonts w:hint="eastAsia" w:ascii="仿宋_GB2312" w:hAnsi="华文仿宋" w:eastAsia="仿宋_GB2312"/>
          <w:color w:val="000000" w:themeColor="text1"/>
          <w:sz w:val="32"/>
          <w:szCs w:val="32"/>
          <w14:textFill>
            <w14:solidFill>
              <w14:schemeClr w14:val="tx1"/>
            </w14:solidFill>
          </w14:textFill>
        </w:rPr>
        <w:t>医疗服务更加均等化。</w:t>
      </w:r>
    </w:p>
    <w:p>
      <w:pPr>
        <w:ind w:firstLine="643" w:firstLineChars="200"/>
        <w:rPr>
          <w:rFonts w:ascii="仿宋_GB2312" w:hAnsi="华文仿宋" w:eastAsia="仿宋_GB2312"/>
          <w:color w:val="000000" w:themeColor="text1"/>
          <w:sz w:val="32"/>
          <w:szCs w:val="32"/>
          <w14:textFill>
            <w14:solidFill>
              <w14:schemeClr w14:val="tx1"/>
            </w14:solidFill>
          </w14:textFill>
        </w:rPr>
      </w:pPr>
      <w:bookmarkStart w:id="11" w:name="_Toc51309184"/>
      <w:r>
        <w:rPr>
          <w:rFonts w:hint="eastAsia" w:ascii="仿宋_GB2312" w:hAnsi="华文仿宋" w:eastAsia="仿宋_GB2312"/>
          <w:b/>
          <w:color w:val="000000" w:themeColor="text1"/>
          <w:sz w:val="32"/>
          <w:szCs w:val="32"/>
          <w14:textFill>
            <w14:solidFill>
              <w14:schemeClr w14:val="tx1"/>
            </w14:solidFill>
          </w14:textFill>
        </w:rPr>
        <w:t>治理效能全面提升</w:t>
      </w:r>
      <w:bookmarkEnd w:id="11"/>
      <w:r>
        <w:rPr>
          <w:rFonts w:hint="eastAsia" w:ascii="仿宋_GB2312" w:hAnsi="华文仿宋" w:eastAsia="仿宋_GB2312"/>
          <w:b/>
          <w:color w:val="000000" w:themeColor="text1"/>
          <w:sz w:val="32"/>
          <w:szCs w:val="32"/>
          <w14:textFill>
            <w14:solidFill>
              <w14:schemeClr w14:val="tx1"/>
            </w14:solidFill>
          </w14:textFill>
        </w:rPr>
        <w:t>。</w:t>
      </w:r>
      <w:r>
        <w:rPr>
          <w:rFonts w:hint="eastAsia" w:ascii="仿宋_GB2312" w:hAnsi="华文仿宋" w:eastAsia="仿宋_GB2312"/>
          <w:color w:val="000000" w:themeColor="text1"/>
          <w:sz w:val="32"/>
          <w:szCs w:val="32"/>
          <w14:textFill>
            <w14:solidFill>
              <w14:schemeClr w14:val="tx1"/>
            </w14:solidFill>
          </w14:textFill>
        </w:rPr>
        <w:t>食品药品安全、检验检测工作连年位居全市第一，荣获河南省“食品安全示范县”“省级农产品质量安全县”“全国绿色防控示范县”称号。扫黑除恶受到市政府表彰，信访积案化解率高，被评为“全国信访工作三无县”。安全生产实现“三降一无”目标，被省委、省政府表彰为建国70周年大庆安全稳定工作先进县。特别是面对突如其来的新冠肺炎疫情，在习近平总书记亲自指挥、亲自部署下，我们统筹推进疫情防控和经济社会发展，筑牢疫情防控的“民权防线”，贡献了服务大局的民权力量。</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年来，我们把奋斗目标聚焦到民权更加出彩上，把工作导向引领到以党的建设高质量推动经济社会发展高质量上，凝聚起同心共筑中国梦、奋勇争先谋出彩的强大合力。“十三五”期间，民权之所以创造了令人骄傲的辉煌业绩，主要在于我们坚持以“四个总”的总要求作为推动高质量发展的行动遵循，坚持以党的建设高质量推动经济发展高质量“一方案十专案”作为推动高质量发展的具体路径，坚持以“马上办抓落实”“9+1”推进工作机制作为推动高质量发展的重要保障，坚持以敢为人先、不甘落后，锐意进取、艰苦奋斗，勇于创新、科学求实的精神作为推动高质量发展的精神支撑。“四个坚持”是过去实践的有益探索，也是推动全县“十四五”发展、全面开启社会主义现代化建设新征程的精神财富，必须倍加珍惜、长期坚持、不断完善。</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3"/>
        <w:gridCol w:w="1668"/>
        <w:gridCol w:w="1006"/>
        <w:gridCol w:w="1178"/>
        <w:gridCol w:w="1224"/>
        <w:gridCol w:w="1178"/>
        <w:gridCol w:w="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7"/>
            <w:shd w:val="clear" w:color="auto" w:fill="auto"/>
            <w:vAlign w:val="center"/>
          </w:tcPr>
          <w:p>
            <w:pPr>
              <w:snapToGrid w:val="0"/>
              <w:rPr>
                <w:rFonts w:ascii="宋体" w:hAnsi="宋体"/>
                <w:b/>
                <w:color w:val="000000" w:themeColor="text1"/>
                <w:szCs w:val="21"/>
                <w14:textFill>
                  <w14:solidFill>
                    <w14:schemeClr w14:val="tx1"/>
                  </w14:solidFill>
                </w14:textFill>
              </w:rPr>
            </w:pPr>
            <w:r>
              <w:rPr>
                <w:rFonts w:hint="eastAsia" w:ascii="Times New Roman" w:hAnsi="Times New Roman" w:eastAsia="黑体"/>
                <w:bCs/>
                <w:color w:val="000000" w:themeColor="text1"/>
                <w:sz w:val="24"/>
                <w:szCs w:val="24"/>
                <w14:textFill>
                  <w14:solidFill>
                    <w14:schemeClr w14:val="tx1"/>
                  </w14:solidFill>
                </w14:textFill>
              </w:rPr>
              <w:t>专栏1-1：“十三五”规划目标完成情况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pct"/>
            <w:gridSpan w:val="2"/>
            <w:vMerge w:val="restar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指标</w:t>
            </w:r>
          </w:p>
        </w:tc>
        <w:tc>
          <w:tcPr>
            <w:tcW w:w="1281" w:type="pct"/>
            <w:gridSpan w:val="2"/>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“十三五”规划目标</w:t>
            </w:r>
          </w:p>
        </w:tc>
        <w:tc>
          <w:tcPr>
            <w:tcW w:w="1409" w:type="pct"/>
            <w:gridSpan w:val="2"/>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“十三五”完成情况（预计）</w:t>
            </w:r>
          </w:p>
        </w:tc>
        <w:tc>
          <w:tcPr>
            <w:tcW w:w="442"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pct"/>
            <w:gridSpan w:val="2"/>
            <w:vMerge w:val="continue"/>
            <w:shd w:val="clear" w:color="auto" w:fill="auto"/>
            <w:vAlign w:val="center"/>
          </w:tcPr>
          <w:p>
            <w:pPr>
              <w:rPr>
                <w:rFonts w:ascii="宋体" w:hAnsi="宋体"/>
                <w:color w:val="000000" w:themeColor="text1"/>
                <w:szCs w:val="21"/>
                <w14:textFill>
                  <w14:solidFill>
                    <w14:schemeClr w14:val="tx1"/>
                  </w14:solidFill>
                </w14:textFill>
              </w:rPr>
            </w:pPr>
          </w:p>
        </w:tc>
        <w:tc>
          <w:tcPr>
            <w:tcW w:w="590"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2020年</w:t>
            </w:r>
          </w:p>
        </w:tc>
        <w:tc>
          <w:tcPr>
            <w:tcW w:w="691"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年均增长（%）</w:t>
            </w:r>
          </w:p>
        </w:tc>
        <w:tc>
          <w:tcPr>
            <w:tcW w:w="718"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2020年</w:t>
            </w:r>
          </w:p>
        </w:tc>
        <w:tc>
          <w:tcPr>
            <w:tcW w:w="691"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年均增长（%）</w:t>
            </w:r>
          </w:p>
        </w:tc>
        <w:tc>
          <w:tcPr>
            <w:tcW w:w="442" w:type="pct"/>
            <w:shd w:val="clear" w:color="auto" w:fill="auto"/>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pct"/>
            <w:gridSpan w:val="2"/>
            <w:shd w:val="clear" w:color="auto" w:fill="auto"/>
            <w:vAlign w:val="center"/>
          </w:tcPr>
          <w:p>
            <w:pP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一、经济发展</w:t>
            </w:r>
          </w:p>
        </w:tc>
        <w:tc>
          <w:tcPr>
            <w:tcW w:w="590" w:type="pct"/>
            <w:shd w:val="clear" w:color="auto" w:fill="auto"/>
            <w:vAlign w:val="center"/>
          </w:tcPr>
          <w:p>
            <w:pPr>
              <w:rPr>
                <w:rFonts w:ascii="宋体" w:hAnsi="宋体"/>
                <w:color w:val="000000" w:themeColor="text1"/>
                <w:szCs w:val="21"/>
                <w14:textFill>
                  <w14:solidFill>
                    <w14:schemeClr w14:val="tx1"/>
                  </w14:solidFill>
                </w14:textFill>
              </w:rPr>
            </w:pPr>
          </w:p>
        </w:tc>
        <w:tc>
          <w:tcPr>
            <w:tcW w:w="691" w:type="pct"/>
            <w:shd w:val="clear" w:color="auto" w:fill="auto"/>
            <w:vAlign w:val="center"/>
          </w:tcPr>
          <w:p>
            <w:pPr>
              <w:rPr>
                <w:rFonts w:ascii="宋体" w:hAnsi="宋体"/>
                <w:color w:val="000000" w:themeColor="text1"/>
                <w:szCs w:val="21"/>
                <w14:textFill>
                  <w14:solidFill>
                    <w14:schemeClr w14:val="tx1"/>
                  </w14:solidFill>
                </w14:textFill>
              </w:rPr>
            </w:pPr>
          </w:p>
        </w:tc>
        <w:tc>
          <w:tcPr>
            <w:tcW w:w="718" w:type="pct"/>
            <w:shd w:val="clear" w:color="auto" w:fill="auto"/>
            <w:vAlign w:val="center"/>
          </w:tcPr>
          <w:p>
            <w:pPr>
              <w:rPr>
                <w:rFonts w:ascii="宋体" w:hAnsi="宋体"/>
                <w:color w:val="000000" w:themeColor="text1"/>
                <w:szCs w:val="21"/>
                <w14:textFill>
                  <w14:solidFill>
                    <w14:schemeClr w14:val="tx1"/>
                  </w14:solidFill>
                </w14:textFill>
              </w:rPr>
            </w:pPr>
          </w:p>
        </w:tc>
        <w:tc>
          <w:tcPr>
            <w:tcW w:w="691" w:type="pct"/>
            <w:shd w:val="clear" w:color="auto" w:fill="auto"/>
            <w:vAlign w:val="center"/>
          </w:tcPr>
          <w:p>
            <w:pPr>
              <w:rPr>
                <w:rFonts w:ascii="宋体" w:hAnsi="宋体"/>
                <w:color w:val="000000" w:themeColor="text1"/>
                <w:szCs w:val="21"/>
                <w14:textFill>
                  <w14:solidFill>
                    <w14:schemeClr w14:val="tx1"/>
                  </w14:solidFill>
                </w14:textFill>
              </w:rPr>
            </w:pPr>
          </w:p>
        </w:tc>
        <w:tc>
          <w:tcPr>
            <w:tcW w:w="442" w:type="pct"/>
            <w:shd w:val="clear" w:color="auto" w:fill="auto"/>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pct"/>
            <w:gridSpan w:val="2"/>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1.地区生产总值（GDP）（亿元）</w:t>
            </w:r>
          </w:p>
        </w:tc>
        <w:tc>
          <w:tcPr>
            <w:tcW w:w="590"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281.3</w:t>
            </w:r>
          </w:p>
        </w:tc>
        <w:tc>
          <w:tcPr>
            <w:tcW w:w="691"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9以上</w:t>
            </w:r>
          </w:p>
        </w:tc>
        <w:tc>
          <w:tcPr>
            <w:tcW w:w="718"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275.5</w:t>
            </w:r>
          </w:p>
        </w:tc>
        <w:tc>
          <w:tcPr>
            <w:tcW w:w="691"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3.8</w:t>
            </w:r>
          </w:p>
        </w:tc>
        <w:tc>
          <w:tcPr>
            <w:tcW w:w="442"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pct"/>
            <w:gridSpan w:val="2"/>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2.人均生产总值（元）</w:t>
            </w:r>
          </w:p>
        </w:tc>
        <w:tc>
          <w:tcPr>
            <w:tcW w:w="590"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39464.2</w:t>
            </w:r>
          </w:p>
        </w:tc>
        <w:tc>
          <w:tcPr>
            <w:tcW w:w="691"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9以上</w:t>
            </w:r>
          </w:p>
        </w:tc>
        <w:tc>
          <w:tcPr>
            <w:tcW w:w="718"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39357</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（预计）</w:t>
            </w:r>
          </w:p>
        </w:tc>
        <w:tc>
          <w:tcPr>
            <w:tcW w:w="691"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7.2</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（预计）</w:t>
            </w:r>
          </w:p>
        </w:tc>
        <w:tc>
          <w:tcPr>
            <w:tcW w:w="442"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pct"/>
            <w:gridSpan w:val="2"/>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3.全社会固定资产投资（亿元）</w:t>
            </w:r>
          </w:p>
        </w:tc>
        <w:tc>
          <w:tcPr>
            <w:tcW w:w="590"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452.35</w:t>
            </w:r>
          </w:p>
        </w:tc>
        <w:tc>
          <w:tcPr>
            <w:tcW w:w="691"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20左右</w:t>
            </w:r>
          </w:p>
        </w:tc>
        <w:tc>
          <w:tcPr>
            <w:tcW w:w="718" w:type="pct"/>
            <w:shd w:val="clear" w:color="auto" w:fill="auto"/>
            <w:vAlign w:val="center"/>
          </w:tcPr>
          <w:p>
            <w:pPr>
              <w:rPr>
                <w:rFonts w:ascii="宋体" w:hAnsi="宋体"/>
                <w:color w:val="000000" w:themeColor="text1"/>
                <w:szCs w:val="21"/>
                <w14:textFill>
                  <w14:solidFill>
                    <w14:schemeClr w14:val="tx1"/>
                  </w14:solidFill>
                </w14:textFill>
              </w:rPr>
            </w:pPr>
          </w:p>
        </w:tc>
        <w:tc>
          <w:tcPr>
            <w:tcW w:w="691"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11.2</w:t>
            </w:r>
          </w:p>
        </w:tc>
        <w:tc>
          <w:tcPr>
            <w:tcW w:w="442"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pct"/>
            <w:gridSpan w:val="2"/>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4.地方财政一般预算收入（亿元）</w:t>
            </w:r>
          </w:p>
        </w:tc>
        <w:tc>
          <w:tcPr>
            <w:tcW w:w="590"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12.6460</w:t>
            </w:r>
          </w:p>
        </w:tc>
        <w:tc>
          <w:tcPr>
            <w:tcW w:w="691"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与GDP同步</w:t>
            </w:r>
          </w:p>
        </w:tc>
        <w:tc>
          <w:tcPr>
            <w:tcW w:w="718"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11.3386</w:t>
            </w:r>
          </w:p>
        </w:tc>
        <w:tc>
          <w:tcPr>
            <w:tcW w:w="691"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10.4</w:t>
            </w:r>
          </w:p>
        </w:tc>
        <w:tc>
          <w:tcPr>
            <w:tcW w:w="442"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pct"/>
            <w:gridSpan w:val="2"/>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5.社会消费品零售总额（亿元）</w:t>
            </w:r>
          </w:p>
        </w:tc>
        <w:tc>
          <w:tcPr>
            <w:tcW w:w="590"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101.5 </w:t>
            </w:r>
          </w:p>
        </w:tc>
        <w:tc>
          <w:tcPr>
            <w:tcW w:w="691"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12 </w:t>
            </w:r>
          </w:p>
        </w:tc>
        <w:tc>
          <w:tcPr>
            <w:tcW w:w="718"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91.7</w:t>
            </w:r>
          </w:p>
        </w:tc>
        <w:tc>
          <w:tcPr>
            <w:tcW w:w="691"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6.9</w:t>
            </w:r>
          </w:p>
        </w:tc>
        <w:tc>
          <w:tcPr>
            <w:tcW w:w="442"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pct"/>
            <w:gridSpan w:val="2"/>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6.实际利用外商投资（亿美元）</w:t>
            </w:r>
          </w:p>
        </w:tc>
        <w:tc>
          <w:tcPr>
            <w:tcW w:w="590"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0.4108 </w:t>
            </w:r>
          </w:p>
        </w:tc>
        <w:tc>
          <w:tcPr>
            <w:tcW w:w="691"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p>
        </w:tc>
        <w:tc>
          <w:tcPr>
            <w:tcW w:w="718"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0.4431</w:t>
            </w:r>
          </w:p>
        </w:tc>
        <w:tc>
          <w:tcPr>
            <w:tcW w:w="691"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5.95</w:t>
            </w:r>
          </w:p>
        </w:tc>
        <w:tc>
          <w:tcPr>
            <w:tcW w:w="442"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pct"/>
            <w:gridSpan w:val="2"/>
            <w:shd w:val="clear" w:color="auto" w:fill="auto"/>
            <w:vAlign w:val="center"/>
          </w:tcPr>
          <w:p>
            <w:pP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二、转型升级和自主创新</w:t>
            </w:r>
          </w:p>
        </w:tc>
        <w:tc>
          <w:tcPr>
            <w:tcW w:w="590" w:type="pct"/>
            <w:shd w:val="clear" w:color="auto" w:fill="auto"/>
            <w:vAlign w:val="center"/>
          </w:tcPr>
          <w:p>
            <w:pPr>
              <w:rPr>
                <w:rFonts w:ascii="宋体" w:hAnsi="宋体"/>
                <w:color w:val="000000" w:themeColor="text1"/>
                <w:szCs w:val="21"/>
                <w14:textFill>
                  <w14:solidFill>
                    <w14:schemeClr w14:val="tx1"/>
                  </w14:solidFill>
                </w14:textFill>
              </w:rPr>
            </w:pPr>
          </w:p>
        </w:tc>
        <w:tc>
          <w:tcPr>
            <w:tcW w:w="691" w:type="pct"/>
            <w:shd w:val="clear" w:color="auto" w:fill="auto"/>
            <w:vAlign w:val="center"/>
          </w:tcPr>
          <w:p>
            <w:pPr>
              <w:rPr>
                <w:rFonts w:ascii="宋体" w:hAnsi="宋体"/>
                <w:color w:val="000000" w:themeColor="text1"/>
                <w:szCs w:val="21"/>
                <w14:textFill>
                  <w14:solidFill>
                    <w14:schemeClr w14:val="tx1"/>
                  </w14:solidFill>
                </w14:textFill>
              </w:rPr>
            </w:pPr>
          </w:p>
        </w:tc>
        <w:tc>
          <w:tcPr>
            <w:tcW w:w="718" w:type="pct"/>
            <w:shd w:val="clear" w:color="auto" w:fill="auto"/>
            <w:vAlign w:val="center"/>
          </w:tcPr>
          <w:p>
            <w:pPr>
              <w:rPr>
                <w:rFonts w:ascii="宋体" w:hAnsi="宋体"/>
                <w:color w:val="000000" w:themeColor="text1"/>
                <w:szCs w:val="21"/>
                <w14:textFill>
                  <w14:solidFill>
                    <w14:schemeClr w14:val="tx1"/>
                  </w14:solidFill>
                </w14:textFill>
              </w:rPr>
            </w:pPr>
          </w:p>
        </w:tc>
        <w:tc>
          <w:tcPr>
            <w:tcW w:w="691" w:type="pct"/>
            <w:shd w:val="clear" w:color="auto" w:fill="auto"/>
            <w:vAlign w:val="center"/>
          </w:tcPr>
          <w:p>
            <w:pPr>
              <w:rPr>
                <w:rFonts w:ascii="宋体" w:hAnsi="宋体"/>
                <w:color w:val="000000" w:themeColor="text1"/>
                <w:szCs w:val="21"/>
                <w14:textFill>
                  <w14:solidFill>
                    <w14:schemeClr w14:val="tx1"/>
                  </w14:solidFill>
                </w14:textFill>
              </w:rPr>
            </w:pPr>
          </w:p>
        </w:tc>
        <w:tc>
          <w:tcPr>
            <w:tcW w:w="442" w:type="pct"/>
            <w:shd w:val="clear" w:color="auto" w:fill="auto"/>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pct"/>
            <w:gridSpan w:val="2"/>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7.服务业增加值比重（%）</w:t>
            </w:r>
          </w:p>
        </w:tc>
        <w:tc>
          <w:tcPr>
            <w:tcW w:w="590"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40</w:t>
            </w:r>
          </w:p>
        </w:tc>
        <w:tc>
          <w:tcPr>
            <w:tcW w:w="691" w:type="pct"/>
            <w:shd w:val="clear" w:color="auto" w:fill="auto"/>
            <w:vAlign w:val="center"/>
          </w:tcPr>
          <w:p>
            <w:pPr>
              <w:rPr>
                <w:rFonts w:ascii="宋体" w:hAnsi="宋体"/>
                <w:color w:val="000000" w:themeColor="text1"/>
                <w:szCs w:val="21"/>
                <w14:textFill>
                  <w14:solidFill>
                    <w14:schemeClr w14:val="tx1"/>
                  </w14:solidFill>
                </w14:textFill>
              </w:rPr>
            </w:pPr>
          </w:p>
        </w:tc>
        <w:tc>
          <w:tcPr>
            <w:tcW w:w="718" w:type="pct"/>
            <w:shd w:val="clear" w:color="auto" w:fill="auto"/>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49.5</w:t>
            </w:r>
          </w:p>
        </w:tc>
        <w:tc>
          <w:tcPr>
            <w:tcW w:w="691"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4.6</w:t>
            </w:r>
          </w:p>
        </w:tc>
        <w:tc>
          <w:tcPr>
            <w:tcW w:w="442" w:type="pct"/>
            <w:shd w:val="clear" w:color="auto" w:fill="auto"/>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pct"/>
            <w:gridSpan w:val="2"/>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8.城镇化率（%）</w:t>
            </w:r>
          </w:p>
        </w:tc>
        <w:tc>
          <w:tcPr>
            <w:tcW w:w="590"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51</w:t>
            </w:r>
          </w:p>
        </w:tc>
        <w:tc>
          <w:tcPr>
            <w:tcW w:w="691" w:type="pct"/>
            <w:shd w:val="clear" w:color="auto" w:fill="auto"/>
            <w:vAlign w:val="center"/>
          </w:tcPr>
          <w:p>
            <w:pPr>
              <w:rPr>
                <w:rFonts w:ascii="宋体" w:hAnsi="宋体"/>
                <w:color w:val="000000" w:themeColor="text1"/>
                <w:szCs w:val="21"/>
                <w14:textFill>
                  <w14:solidFill>
                    <w14:schemeClr w14:val="tx1"/>
                  </w14:solidFill>
                </w14:textFill>
              </w:rPr>
            </w:pPr>
          </w:p>
        </w:tc>
        <w:tc>
          <w:tcPr>
            <w:tcW w:w="718"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47</w:t>
            </w:r>
            <w:r>
              <w:rPr>
                <w:rFonts w:hint="eastAsia" w:ascii="Times New Roman" w:hAnsi="Times New Roman"/>
                <w:color w:val="000000" w:themeColor="text1"/>
                <w:kern w:val="0"/>
                <w:szCs w:val="21"/>
                <w14:textFill>
                  <w14:solidFill>
                    <w14:schemeClr w14:val="tx1"/>
                  </w14:solidFill>
                </w14:textFill>
              </w:rPr>
              <w:t>（预计）</w:t>
            </w:r>
          </w:p>
        </w:tc>
        <w:tc>
          <w:tcPr>
            <w:tcW w:w="691"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6.6</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（预计）</w:t>
            </w:r>
          </w:p>
        </w:tc>
        <w:tc>
          <w:tcPr>
            <w:tcW w:w="442"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pct"/>
            <w:gridSpan w:val="2"/>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9.企业R&amp;D占规上工业增加值比重（%）</w:t>
            </w:r>
          </w:p>
        </w:tc>
        <w:tc>
          <w:tcPr>
            <w:tcW w:w="590"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3.54 </w:t>
            </w:r>
          </w:p>
        </w:tc>
        <w:tc>
          <w:tcPr>
            <w:tcW w:w="691"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与GDP同步</w:t>
            </w:r>
          </w:p>
        </w:tc>
        <w:tc>
          <w:tcPr>
            <w:tcW w:w="718" w:type="pct"/>
            <w:shd w:val="clear" w:color="auto" w:fill="auto"/>
            <w:vAlign w:val="center"/>
          </w:tcPr>
          <w:p>
            <w:pPr>
              <w:rPr>
                <w:rFonts w:ascii="宋体" w:hAnsi="宋体"/>
                <w:color w:val="000000" w:themeColor="text1"/>
                <w:szCs w:val="21"/>
                <w14:textFill>
                  <w14:solidFill>
                    <w14:schemeClr w14:val="tx1"/>
                  </w14:solidFill>
                </w14:textFill>
              </w:rPr>
            </w:pPr>
          </w:p>
        </w:tc>
        <w:tc>
          <w:tcPr>
            <w:tcW w:w="691" w:type="pct"/>
            <w:shd w:val="clear" w:color="auto" w:fill="auto"/>
            <w:vAlign w:val="center"/>
          </w:tcPr>
          <w:p>
            <w:pPr>
              <w:rPr>
                <w:rFonts w:ascii="宋体" w:hAnsi="宋体"/>
                <w:color w:val="000000" w:themeColor="text1"/>
                <w:szCs w:val="21"/>
                <w14:textFill>
                  <w14:solidFill>
                    <w14:schemeClr w14:val="tx1"/>
                  </w14:solidFill>
                </w14:textFill>
              </w:rPr>
            </w:pPr>
          </w:p>
        </w:tc>
        <w:tc>
          <w:tcPr>
            <w:tcW w:w="442"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pct"/>
            <w:gridSpan w:val="2"/>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10.固定宽带家庭用户（万户）</w:t>
            </w:r>
          </w:p>
        </w:tc>
        <w:tc>
          <w:tcPr>
            <w:tcW w:w="590"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12.93</w:t>
            </w:r>
          </w:p>
        </w:tc>
        <w:tc>
          <w:tcPr>
            <w:tcW w:w="691"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市定目标</w:t>
            </w:r>
          </w:p>
        </w:tc>
        <w:tc>
          <w:tcPr>
            <w:tcW w:w="718"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14.8</w:t>
            </w:r>
          </w:p>
        </w:tc>
        <w:tc>
          <w:tcPr>
            <w:tcW w:w="691" w:type="pct"/>
            <w:shd w:val="clear" w:color="auto" w:fill="auto"/>
            <w:vAlign w:val="center"/>
          </w:tcPr>
          <w:p>
            <w:pPr>
              <w:rPr>
                <w:rFonts w:ascii="宋体" w:hAnsi="宋体"/>
                <w:color w:val="000000" w:themeColor="text1"/>
                <w:szCs w:val="21"/>
                <w14:textFill>
                  <w14:solidFill>
                    <w14:schemeClr w14:val="tx1"/>
                  </w14:solidFill>
                </w14:textFill>
              </w:rPr>
            </w:pPr>
          </w:p>
        </w:tc>
        <w:tc>
          <w:tcPr>
            <w:tcW w:w="442"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pct"/>
            <w:gridSpan w:val="2"/>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11.4G 用户（万户）</w:t>
            </w:r>
          </w:p>
        </w:tc>
        <w:tc>
          <w:tcPr>
            <w:tcW w:w="590"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14.94</w:t>
            </w:r>
          </w:p>
        </w:tc>
        <w:tc>
          <w:tcPr>
            <w:tcW w:w="691"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市定目标</w:t>
            </w:r>
          </w:p>
        </w:tc>
        <w:tc>
          <w:tcPr>
            <w:tcW w:w="718"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24.7</w:t>
            </w:r>
          </w:p>
        </w:tc>
        <w:tc>
          <w:tcPr>
            <w:tcW w:w="691" w:type="pct"/>
            <w:shd w:val="clear" w:color="auto" w:fill="auto"/>
            <w:vAlign w:val="center"/>
          </w:tcPr>
          <w:p>
            <w:pPr>
              <w:rPr>
                <w:rFonts w:ascii="宋体" w:hAnsi="宋体"/>
                <w:color w:val="000000" w:themeColor="text1"/>
                <w:szCs w:val="21"/>
                <w14:textFill>
                  <w14:solidFill>
                    <w14:schemeClr w14:val="tx1"/>
                  </w14:solidFill>
                </w14:textFill>
              </w:rPr>
            </w:pPr>
          </w:p>
        </w:tc>
        <w:tc>
          <w:tcPr>
            <w:tcW w:w="442"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pct"/>
            <w:gridSpan w:val="2"/>
            <w:shd w:val="clear" w:color="auto" w:fill="auto"/>
            <w:vAlign w:val="center"/>
          </w:tcPr>
          <w:p>
            <w:pP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三、民生福祉</w:t>
            </w:r>
          </w:p>
        </w:tc>
        <w:tc>
          <w:tcPr>
            <w:tcW w:w="590" w:type="pct"/>
            <w:shd w:val="clear" w:color="auto" w:fill="auto"/>
            <w:vAlign w:val="center"/>
          </w:tcPr>
          <w:p>
            <w:pPr>
              <w:rPr>
                <w:rFonts w:ascii="宋体" w:hAnsi="宋体"/>
                <w:color w:val="000000" w:themeColor="text1"/>
                <w:szCs w:val="21"/>
                <w14:textFill>
                  <w14:solidFill>
                    <w14:schemeClr w14:val="tx1"/>
                  </w14:solidFill>
                </w14:textFill>
              </w:rPr>
            </w:pPr>
          </w:p>
        </w:tc>
        <w:tc>
          <w:tcPr>
            <w:tcW w:w="691" w:type="pct"/>
            <w:shd w:val="clear" w:color="auto" w:fill="auto"/>
            <w:vAlign w:val="center"/>
          </w:tcPr>
          <w:p>
            <w:pPr>
              <w:rPr>
                <w:rFonts w:ascii="宋体" w:hAnsi="宋体"/>
                <w:color w:val="000000" w:themeColor="text1"/>
                <w:szCs w:val="21"/>
                <w14:textFill>
                  <w14:solidFill>
                    <w14:schemeClr w14:val="tx1"/>
                  </w14:solidFill>
                </w14:textFill>
              </w:rPr>
            </w:pPr>
          </w:p>
        </w:tc>
        <w:tc>
          <w:tcPr>
            <w:tcW w:w="718" w:type="pct"/>
            <w:shd w:val="clear" w:color="auto" w:fill="auto"/>
            <w:vAlign w:val="center"/>
          </w:tcPr>
          <w:p>
            <w:pPr>
              <w:rPr>
                <w:rFonts w:ascii="宋体" w:hAnsi="宋体"/>
                <w:color w:val="000000" w:themeColor="text1"/>
                <w:szCs w:val="21"/>
                <w14:textFill>
                  <w14:solidFill>
                    <w14:schemeClr w14:val="tx1"/>
                  </w14:solidFill>
                </w14:textFill>
              </w:rPr>
            </w:pPr>
          </w:p>
        </w:tc>
        <w:tc>
          <w:tcPr>
            <w:tcW w:w="691" w:type="pct"/>
            <w:shd w:val="clear" w:color="auto" w:fill="auto"/>
            <w:vAlign w:val="center"/>
          </w:tcPr>
          <w:p>
            <w:pPr>
              <w:rPr>
                <w:rFonts w:ascii="宋体" w:hAnsi="宋体"/>
                <w:color w:val="000000" w:themeColor="text1"/>
                <w:szCs w:val="21"/>
                <w14:textFill>
                  <w14:solidFill>
                    <w14:schemeClr w14:val="tx1"/>
                  </w14:solidFill>
                </w14:textFill>
              </w:rPr>
            </w:pPr>
          </w:p>
        </w:tc>
        <w:tc>
          <w:tcPr>
            <w:tcW w:w="442" w:type="pct"/>
            <w:shd w:val="clear" w:color="auto" w:fill="auto"/>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pct"/>
            <w:gridSpan w:val="2"/>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12.城镇居民人均可支配收入（元）</w:t>
            </w:r>
          </w:p>
        </w:tc>
        <w:tc>
          <w:tcPr>
            <w:tcW w:w="590"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34560 </w:t>
            </w:r>
          </w:p>
        </w:tc>
        <w:tc>
          <w:tcPr>
            <w:tcW w:w="691"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与GDP同步</w:t>
            </w:r>
          </w:p>
        </w:tc>
        <w:tc>
          <w:tcPr>
            <w:tcW w:w="718" w:type="pct"/>
            <w:shd w:val="clear" w:color="auto" w:fill="auto"/>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29975</w:t>
            </w:r>
          </w:p>
        </w:tc>
        <w:tc>
          <w:tcPr>
            <w:tcW w:w="691"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7.8</w:t>
            </w:r>
          </w:p>
        </w:tc>
        <w:tc>
          <w:tcPr>
            <w:tcW w:w="442"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pct"/>
            <w:gridSpan w:val="2"/>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13.农村居民人均可支配收入（元）</w:t>
            </w:r>
          </w:p>
        </w:tc>
        <w:tc>
          <w:tcPr>
            <w:tcW w:w="590"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13095 </w:t>
            </w:r>
          </w:p>
        </w:tc>
        <w:tc>
          <w:tcPr>
            <w:tcW w:w="691"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与GDP同步</w:t>
            </w:r>
          </w:p>
        </w:tc>
        <w:tc>
          <w:tcPr>
            <w:tcW w:w="718" w:type="pct"/>
            <w:shd w:val="clear" w:color="auto" w:fill="auto"/>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13053</w:t>
            </w:r>
          </w:p>
        </w:tc>
        <w:tc>
          <w:tcPr>
            <w:tcW w:w="691"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9.05</w:t>
            </w:r>
          </w:p>
        </w:tc>
        <w:tc>
          <w:tcPr>
            <w:tcW w:w="442"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pct"/>
            <w:gridSpan w:val="2"/>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14.农村人口脱贫人数（万人）</w:t>
            </w:r>
          </w:p>
        </w:tc>
        <w:tc>
          <w:tcPr>
            <w:tcW w:w="590"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9.14 </w:t>
            </w:r>
          </w:p>
        </w:tc>
        <w:tc>
          <w:tcPr>
            <w:tcW w:w="691"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30.1</w:t>
            </w:r>
          </w:p>
        </w:tc>
        <w:tc>
          <w:tcPr>
            <w:tcW w:w="718"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8.34</w:t>
            </w:r>
          </w:p>
        </w:tc>
        <w:tc>
          <w:tcPr>
            <w:tcW w:w="691" w:type="pct"/>
            <w:shd w:val="clear" w:color="auto" w:fill="auto"/>
            <w:vAlign w:val="center"/>
          </w:tcPr>
          <w:p>
            <w:pPr>
              <w:rPr>
                <w:rFonts w:ascii="宋体" w:hAnsi="宋体"/>
                <w:color w:val="000000" w:themeColor="text1"/>
                <w:szCs w:val="21"/>
                <w14:textFill>
                  <w14:solidFill>
                    <w14:schemeClr w14:val="tx1"/>
                  </w14:solidFill>
                </w14:textFill>
              </w:rPr>
            </w:pPr>
          </w:p>
        </w:tc>
        <w:tc>
          <w:tcPr>
            <w:tcW w:w="442"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pct"/>
            <w:gridSpan w:val="2"/>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15.累计城镇新增就业人数（万人）</w:t>
            </w:r>
          </w:p>
        </w:tc>
        <w:tc>
          <w:tcPr>
            <w:tcW w:w="590"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1.1833 </w:t>
            </w:r>
          </w:p>
        </w:tc>
        <w:tc>
          <w:tcPr>
            <w:tcW w:w="691"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4.7</w:t>
            </w:r>
          </w:p>
        </w:tc>
        <w:tc>
          <w:tcPr>
            <w:tcW w:w="718"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0.8468</w:t>
            </w:r>
          </w:p>
        </w:tc>
        <w:tc>
          <w:tcPr>
            <w:tcW w:w="691" w:type="pct"/>
            <w:shd w:val="clear" w:color="auto" w:fill="auto"/>
            <w:vAlign w:val="center"/>
          </w:tcPr>
          <w:p>
            <w:pPr>
              <w:rPr>
                <w:rFonts w:ascii="宋体" w:hAnsi="宋体"/>
                <w:color w:val="000000" w:themeColor="text1"/>
                <w:szCs w:val="21"/>
                <w14:textFill>
                  <w14:solidFill>
                    <w14:schemeClr w14:val="tx1"/>
                  </w14:solidFill>
                </w14:textFill>
              </w:rPr>
            </w:pPr>
          </w:p>
        </w:tc>
        <w:tc>
          <w:tcPr>
            <w:tcW w:w="442"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pct"/>
            <w:gridSpan w:val="2"/>
            <w:shd w:val="clear" w:color="auto" w:fill="auto"/>
            <w:vAlign w:val="center"/>
          </w:tcPr>
          <w:p>
            <w:pP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四、生态文明</w:t>
            </w:r>
          </w:p>
        </w:tc>
        <w:tc>
          <w:tcPr>
            <w:tcW w:w="590" w:type="pct"/>
            <w:shd w:val="clear" w:color="auto" w:fill="auto"/>
            <w:vAlign w:val="center"/>
          </w:tcPr>
          <w:p>
            <w:pPr>
              <w:rPr>
                <w:rFonts w:ascii="宋体" w:hAnsi="宋体"/>
                <w:color w:val="000000" w:themeColor="text1"/>
                <w:szCs w:val="21"/>
                <w14:textFill>
                  <w14:solidFill>
                    <w14:schemeClr w14:val="tx1"/>
                  </w14:solidFill>
                </w14:textFill>
              </w:rPr>
            </w:pPr>
          </w:p>
        </w:tc>
        <w:tc>
          <w:tcPr>
            <w:tcW w:w="691" w:type="pct"/>
            <w:shd w:val="clear" w:color="auto" w:fill="auto"/>
            <w:vAlign w:val="center"/>
          </w:tcPr>
          <w:p>
            <w:pPr>
              <w:rPr>
                <w:rFonts w:ascii="宋体" w:hAnsi="宋体"/>
                <w:color w:val="000000" w:themeColor="text1"/>
                <w:szCs w:val="21"/>
                <w14:textFill>
                  <w14:solidFill>
                    <w14:schemeClr w14:val="tx1"/>
                  </w14:solidFill>
                </w14:textFill>
              </w:rPr>
            </w:pPr>
          </w:p>
        </w:tc>
        <w:tc>
          <w:tcPr>
            <w:tcW w:w="718" w:type="pct"/>
            <w:shd w:val="clear" w:color="auto" w:fill="auto"/>
            <w:vAlign w:val="center"/>
          </w:tcPr>
          <w:p>
            <w:pPr>
              <w:rPr>
                <w:rFonts w:ascii="宋体" w:hAnsi="宋体"/>
                <w:color w:val="000000" w:themeColor="text1"/>
                <w:szCs w:val="21"/>
                <w14:textFill>
                  <w14:solidFill>
                    <w14:schemeClr w14:val="tx1"/>
                  </w14:solidFill>
                </w14:textFill>
              </w:rPr>
            </w:pPr>
          </w:p>
        </w:tc>
        <w:tc>
          <w:tcPr>
            <w:tcW w:w="691" w:type="pct"/>
            <w:shd w:val="clear" w:color="auto" w:fill="auto"/>
            <w:vAlign w:val="center"/>
          </w:tcPr>
          <w:p>
            <w:pPr>
              <w:rPr>
                <w:rFonts w:ascii="宋体" w:hAnsi="宋体"/>
                <w:color w:val="000000" w:themeColor="text1"/>
                <w:szCs w:val="21"/>
                <w14:textFill>
                  <w14:solidFill>
                    <w14:schemeClr w14:val="tx1"/>
                  </w14:solidFill>
                </w14:textFill>
              </w:rPr>
            </w:pPr>
          </w:p>
        </w:tc>
        <w:tc>
          <w:tcPr>
            <w:tcW w:w="442" w:type="pct"/>
            <w:shd w:val="clear" w:color="auto" w:fill="auto"/>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pct"/>
            <w:gridSpan w:val="2"/>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16.万元生产总值用水量下降（%）</w:t>
            </w:r>
          </w:p>
        </w:tc>
        <w:tc>
          <w:tcPr>
            <w:tcW w:w="590"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市定目标</w:t>
            </w:r>
          </w:p>
        </w:tc>
        <w:tc>
          <w:tcPr>
            <w:tcW w:w="691"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市定目标</w:t>
            </w:r>
          </w:p>
        </w:tc>
        <w:tc>
          <w:tcPr>
            <w:tcW w:w="718" w:type="pct"/>
            <w:shd w:val="clear" w:color="auto" w:fill="auto"/>
            <w:vAlign w:val="center"/>
          </w:tcPr>
          <w:p>
            <w:pPr>
              <w:rPr>
                <w:rFonts w:ascii="宋体" w:hAnsi="宋体"/>
                <w:color w:val="000000" w:themeColor="text1"/>
                <w:szCs w:val="21"/>
                <w14:textFill>
                  <w14:solidFill>
                    <w14:schemeClr w14:val="tx1"/>
                  </w14:solidFill>
                </w14:textFill>
              </w:rPr>
            </w:pPr>
          </w:p>
        </w:tc>
        <w:tc>
          <w:tcPr>
            <w:tcW w:w="691" w:type="pct"/>
            <w:shd w:val="clear" w:color="auto" w:fill="auto"/>
            <w:vAlign w:val="center"/>
          </w:tcPr>
          <w:p>
            <w:pPr>
              <w:rPr>
                <w:rFonts w:ascii="宋体" w:hAnsi="宋体"/>
                <w:color w:val="000000" w:themeColor="text1"/>
                <w:szCs w:val="21"/>
                <w14:textFill>
                  <w14:solidFill>
                    <w14:schemeClr w14:val="tx1"/>
                  </w14:solidFill>
                </w14:textFill>
              </w:rPr>
            </w:pPr>
          </w:p>
        </w:tc>
        <w:tc>
          <w:tcPr>
            <w:tcW w:w="442"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pct"/>
            <w:gridSpan w:val="2"/>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17.万元生产总值能源消耗降低(%)</w:t>
            </w:r>
          </w:p>
        </w:tc>
        <w:tc>
          <w:tcPr>
            <w:tcW w:w="590"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市定目标</w:t>
            </w:r>
          </w:p>
        </w:tc>
        <w:tc>
          <w:tcPr>
            <w:tcW w:w="691"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市定目标</w:t>
            </w:r>
          </w:p>
        </w:tc>
        <w:tc>
          <w:tcPr>
            <w:tcW w:w="718" w:type="pct"/>
            <w:shd w:val="clear" w:color="auto" w:fill="auto"/>
            <w:vAlign w:val="center"/>
          </w:tcPr>
          <w:p>
            <w:pPr>
              <w:rPr>
                <w:rFonts w:ascii="宋体" w:hAnsi="宋体"/>
                <w:color w:val="000000" w:themeColor="text1"/>
                <w:szCs w:val="21"/>
                <w14:textFill>
                  <w14:solidFill>
                    <w14:schemeClr w14:val="tx1"/>
                  </w14:solidFill>
                </w14:textFill>
              </w:rPr>
            </w:pPr>
          </w:p>
        </w:tc>
        <w:tc>
          <w:tcPr>
            <w:tcW w:w="691" w:type="pct"/>
            <w:shd w:val="clear" w:color="auto" w:fill="auto"/>
            <w:vAlign w:val="center"/>
          </w:tcPr>
          <w:p>
            <w:pPr>
              <w:rPr>
                <w:rFonts w:ascii="宋体" w:hAnsi="宋体"/>
                <w:color w:val="000000" w:themeColor="text1"/>
                <w:szCs w:val="21"/>
                <w14:textFill>
                  <w14:solidFill>
                    <w14:schemeClr w14:val="tx1"/>
                  </w14:solidFill>
                </w14:textFill>
              </w:rPr>
            </w:pPr>
          </w:p>
        </w:tc>
        <w:tc>
          <w:tcPr>
            <w:tcW w:w="442"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pct"/>
            <w:gridSpan w:val="2"/>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18.万元生产总值二氧化碳排放降低 (%）</w:t>
            </w:r>
          </w:p>
        </w:tc>
        <w:tc>
          <w:tcPr>
            <w:tcW w:w="590"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市定目标</w:t>
            </w:r>
          </w:p>
        </w:tc>
        <w:tc>
          <w:tcPr>
            <w:tcW w:w="691"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市定目标</w:t>
            </w:r>
          </w:p>
        </w:tc>
        <w:tc>
          <w:tcPr>
            <w:tcW w:w="718" w:type="pct"/>
            <w:shd w:val="clear" w:color="auto" w:fill="auto"/>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完成市定目标</w:t>
            </w:r>
          </w:p>
        </w:tc>
        <w:tc>
          <w:tcPr>
            <w:tcW w:w="691" w:type="pct"/>
            <w:shd w:val="clear" w:color="auto" w:fill="auto"/>
            <w:vAlign w:val="center"/>
          </w:tcPr>
          <w:p>
            <w:pPr>
              <w:rPr>
                <w:rFonts w:ascii="宋体" w:hAnsi="宋体"/>
                <w:color w:val="000000" w:themeColor="text1"/>
                <w:szCs w:val="21"/>
                <w14:textFill>
                  <w14:solidFill>
                    <w14:schemeClr w14:val="tx1"/>
                  </w14:solidFill>
                </w14:textFill>
              </w:rPr>
            </w:pPr>
          </w:p>
        </w:tc>
        <w:tc>
          <w:tcPr>
            <w:tcW w:w="442"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888" w:type="pct"/>
            <w:vMerge w:val="restar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19.森林增长</w:t>
            </w:r>
          </w:p>
        </w:tc>
        <w:tc>
          <w:tcPr>
            <w:tcW w:w="979"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森林覆盖率（%）</w:t>
            </w:r>
          </w:p>
        </w:tc>
        <w:tc>
          <w:tcPr>
            <w:tcW w:w="590"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市定目标</w:t>
            </w:r>
          </w:p>
        </w:tc>
        <w:tc>
          <w:tcPr>
            <w:tcW w:w="691"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市定目标</w:t>
            </w:r>
          </w:p>
        </w:tc>
        <w:tc>
          <w:tcPr>
            <w:tcW w:w="718"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35.48</w:t>
            </w:r>
          </w:p>
        </w:tc>
        <w:tc>
          <w:tcPr>
            <w:tcW w:w="691" w:type="pct"/>
            <w:shd w:val="clear" w:color="auto" w:fill="auto"/>
            <w:vAlign w:val="center"/>
          </w:tcPr>
          <w:p>
            <w:pPr>
              <w:rPr>
                <w:rFonts w:ascii="宋体" w:hAnsi="宋体"/>
                <w:color w:val="000000" w:themeColor="text1"/>
                <w:szCs w:val="21"/>
                <w14:textFill>
                  <w14:solidFill>
                    <w14:schemeClr w14:val="tx1"/>
                  </w14:solidFill>
                </w14:textFill>
              </w:rPr>
            </w:pPr>
          </w:p>
          <w:p>
            <w:pPr>
              <w:rPr>
                <w:rFonts w:ascii="宋体" w:hAnsi="宋体"/>
                <w:color w:val="000000" w:themeColor="text1"/>
                <w:szCs w:val="21"/>
                <w14:textFill>
                  <w14:solidFill>
                    <w14:schemeClr w14:val="tx1"/>
                  </w14:solidFill>
                </w14:textFill>
              </w:rPr>
            </w:pPr>
          </w:p>
        </w:tc>
        <w:tc>
          <w:tcPr>
            <w:tcW w:w="442"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888" w:type="pct"/>
            <w:vMerge w:val="continue"/>
            <w:shd w:val="clear" w:color="auto" w:fill="auto"/>
            <w:vAlign w:val="center"/>
          </w:tcPr>
          <w:p>
            <w:pPr>
              <w:rPr>
                <w:rFonts w:ascii="宋体" w:hAnsi="宋体"/>
                <w:color w:val="000000" w:themeColor="text1"/>
                <w:szCs w:val="21"/>
                <w14:textFill>
                  <w14:solidFill>
                    <w14:schemeClr w14:val="tx1"/>
                  </w14:solidFill>
                </w14:textFill>
              </w:rPr>
            </w:pPr>
          </w:p>
        </w:tc>
        <w:tc>
          <w:tcPr>
            <w:tcW w:w="979"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森林蓄积量（万立方米）</w:t>
            </w:r>
          </w:p>
        </w:tc>
        <w:tc>
          <w:tcPr>
            <w:tcW w:w="590"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市定目标</w:t>
            </w:r>
          </w:p>
        </w:tc>
        <w:tc>
          <w:tcPr>
            <w:tcW w:w="691"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市定目标</w:t>
            </w:r>
          </w:p>
        </w:tc>
        <w:tc>
          <w:tcPr>
            <w:tcW w:w="718"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369</w:t>
            </w:r>
          </w:p>
        </w:tc>
        <w:tc>
          <w:tcPr>
            <w:tcW w:w="691" w:type="pct"/>
            <w:shd w:val="clear" w:color="auto" w:fill="auto"/>
            <w:vAlign w:val="center"/>
          </w:tcPr>
          <w:p>
            <w:pPr>
              <w:rPr>
                <w:rFonts w:ascii="宋体" w:hAnsi="宋体"/>
                <w:color w:val="000000" w:themeColor="text1"/>
                <w:szCs w:val="21"/>
                <w14:textFill>
                  <w14:solidFill>
                    <w14:schemeClr w14:val="tx1"/>
                  </w14:solidFill>
                </w14:textFill>
              </w:rPr>
            </w:pPr>
          </w:p>
        </w:tc>
        <w:tc>
          <w:tcPr>
            <w:tcW w:w="442"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pct"/>
            <w:gridSpan w:val="2"/>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20.空气质量优良天数（天）</w:t>
            </w:r>
          </w:p>
        </w:tc>
        <w:tc>
          <w:tcPr>
            <w:tcW w:w="590" w:type="pct"/>
            <w:shd w:val="clear" w:color="auto" w:fill="auto"/>
            <w:vAlign w:val="center"/>
          </w:tcPr>
          <w:p>
            <w:pPr>
              <w:rPr>
                <w:rFonts w:ascii="宋体" w:hAnsi="宋体"/>
                <w:color w:val="000000" w:themeColor="text1"/>
                <w:szCs w:val="21"/>
                <w14:textFill>
                  <w14:solidFill>
                    <w14:schemeClr w14:val="tx1"/>
                  </w14:solidFill>
                </w14:textFill>
              </w:rPr>
            </w:pPr>
          </w:p>
        </w:tc>
        <w:tc>
          <w:tcPr>
            <w:tcW w:w="691" w:type="pct"/>
            <w:shd w:val="clear" w:color="auto" w:fill="auto"/>
            <w:vAlign w:val="center"/>
          </w:tcPr>
          <w:p>
            <w:pPr>
              <w:rPr>
                <w:rFonts w:ascii="宋体" w:hAnsi="宋体"/>
                <w:color w:val="000000" w:themeColor="text1"/>
                <w:szCs w:val="21"/>
                <w14:textFill>
                  <w14:solidFill>
                    <w14:schemeClr w14:val="tx1"/>
                  </w14:solidFill>
                </w14:textFill>
              </w:rPr>
            </w:pPr>
          </w:p>
        </w:tc>
        <w:tc>
          <w:tcPr>
            <w:tcW w:w="718"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227</w:t>
            </w:r>
          </w:p>
        </w:tc>
        <w:tc>
          <w:tcPr>
            <w:tcW w:w="691" w:type="pct"/>
            <w:shd w:val="clear" w:color="auto" w:fill="auto"/>
            <w:vAlign w:val="center"/>
          </w:tcPr>
          <w:p>
            <w:pPr>
              <w:rPr>
                <w:rFonts w:ascii="宋体" w:hAnsi="宋体"/>
                <w:color w:val="000000" w:themeColor="text1"/>
                <w:szCs w:val="21"/>
                <w14:textFill>
                  <w14:solidFill>
                    <w14:schemeClr w14:val="tx1"/>
                  </w14:solidFill>
                </w14:textFill>
              </w:rPr>
            </w:pPr>
          </w:p>
        </w:tc>
        <w:tc>
          <w:tcPr>
            <w:tcW w:w="442" w:type="pct"/>
            <w:shd w:val="clear" w:color="auto" w:fill="auto"/>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 w:type="pct"/>
            <w:vMerge w:val="restar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21.主要污染物排放减少</w:t>
            </w:r>
          </w:p>
        </w:tc>
        <w:tc>
          <w:tcPr>
            <w:tcW w:w="979"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化学需氧量（%）</w:t>
            </w:r>
          </w:p>
        </w:tc>
        <w:tc>
          <w:tcPr>
            <w:tcW w:w="590"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市定目标</w:t>
            </w:r>
          </w:p>
        </w:tc>
        <w:tc>
          <w:tcPr>
            <w:tcW w:w="691"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市定目标</w:t>
            </w:r>
          </w:p>
        </w:tc>
        <w:tc>
          <w:tcPr>
            <w:tcW w:w="718" w:type="pct"/>
            <w:shd w:val="clear" w:color="auto" w:fill="auto"/>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完成市定目标</w:t>
            </w:r>
          </w:p>
        </w:tc>
        <w:tc>
          <w:tcPr>
            <w:tcW w:w="691" w:type="pct"/>
            <w:shd w:val="clear" w:color="auto" w:fill="auto"/>
            <w:vAlign w:val="center"/>
          </w:tcPr>
          <w:p>
            <w:pPr>
              <w:rPr>
                <w:rFonts w:ascii="宋体" w:hAnsi="宋体"/>
                <w:color w:val="000000" w:themeColor="text1"/>
                <w:szCs w:val="21"/>
                <w14:textFill>
                  <w14:solidFill>
                    <w14:schemeClr w14:val="tx1"/>
                  </w14:solidFill>
                </w14:textFill>
              </w:rPr>
            </w:pPr>
          </w:p>
        </w:tc>
        <w:tc>
          <w:tcPr>
            <w:tcW w:w="442"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 w:type="pct"/>
            <w:vMerge w:val="continue"/>
            <w:shd w:val="clear" w:color="auto" w:fill="auto"/>
            <w:vAlign w:val="center"/>
          </w:tcPr>
          <w:p>
            <w:pPr>
              <w:rPr>
                <w:rFonts w:ascii="宋体" w:hAnsi="宋体"/>
                <w:color w:val="000000" w:themeColor="text1"/>
                <w:szCs w:val="21"/>
                <w14:textFill>
                  <w14:solidFill>
                    <w14:schemeClr w14:val="tx1"/>
                  </w14:solidFill>
                </w14:textFill>
              </w:rPr>
            </w:pPr>
          </w:p>
        </w:tc>
        <w:tc>
          <w:tcPr>
            <w:tcW w:w="979"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二氧化硫（%）</w:t>
            </w:r>
          </w:p>
        </w:tc>
        <w:tc>
          <w:tcPr>
            <w:tcW w:w="590"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市定目标</w:t>
            </w:r>
          </w:p>
        </w:tc>
        <w:tc>
          <w:tcPr>
            <w:tcW w:w="691"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市定目标</w:t>
            </w:r>
          </w:p>
        </w:tc>
        <w:tc>
          <w:tcPr>
            <w:tcW w:w="718" w:type="pct"/>
            <w:shd w:val="clear" w:color="auto" w:fill="auto"/>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完成市定目标</w:t>
            </w:r>
          </w:p>
        </w:tc>
        <w:tc>
          <w:tcPr>
            <w:tcW w:w="691" w:type="pct"/>
            <w:shd w:val="clear" w:color="auto" w:fill="auto"/>
            <w:vAlign w:val="center"/>
          </w:tcPr>
          <w:p>
            <w:pPr>
              <w:rPr>
                <w:rFonts w:ascii="宋体" w:hAnsi="宋体"/>
                <w:color w:val="000000" w:themeColor="text1"/>
                <w:szCs w:val="21"/>
                <w14:textFill>
                  <w14:solidFill>
                    <w14:schemeClr w14:val="tx1"/>
                  </w14:solidFill>
                </w14:textFill>
              </w:rPr>
            </w:pPr>
          </w:p>
        </w:tc>
        <w:tc>
          <w:tcPr>
            <w:tcW w:w="442"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 w:type="pct"/>
            <w:vMerge w:val="continue"/>
            <w:shd w:val="clear" w:color="auto" w:fill="auto"/>
            <w:vAlign w:val="center"/>
          </w:tcPr>
          <w:p>
            <w:pPr>
              <w:rPr>
                <w:rFonts w:ascii="宋体" w:hAnsi="宋体"/>
                <w:color w:val="000000" w:themeColor="text1"/>
                <w:szCs w:val="21"/>
                <w14:textFill>
                  <w14:solidFill>
                    <w14:schemeClr w14:val="tx1"/>
                  </w14:solidFill>
                </w14:textFill>
              </w:rPr>
            </w:pPr>
          </w:p>
        </w:tc>
        <w:tc>
          <w:tcPr>
            <w:tcW w:w="979"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氨氮（%）</w:t>
            </w:r>
          </w:p>
        </w:tc>
        <w:tc>
          <w:tcPr>
            <w:tcW w:w="590"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市定目标</w:t>
            </w:r>
          </w:p>
        </w:tc>
        <w:tc>
          <w:tcPr>
            <w:tcW w:w="691"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市定目标</w:t>
            </w:r>
          </w:p>
        </w:tc>
        <w:tc>
          <w:tcPr>
            <w:tcW w:w="718" w:type="pct"/>
            <w:shd w:val="clear" w:color="auto" w:fill="auto"/>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完成市定目标</w:t>
            </w:r>
          </w:p>
        </w:tc>
        <w:tc>
          <w:tcPr>
            <w:tcW w:w="691" w:type="pct"/>
            <w:shd w:val="clear" w:color="auto" w:fill="auto"/>
            <w:vAlign w:val="center"/>
          </w:tcPr>
          <w:p>
            <w:pPr>
              <w:rPr>
                <w:rFonts w:ascii="宋体" w:hAnsi="宋体"/>
                <w:color w:val="000000" w:themeColor="text1"/>
                <w:szCs w:val="21"/>
                <w14:textFill>
                  <w14:solidFill>
                    <w14:schemeClr w14:val="tx1"/>
                  </w14:solidFill>
                </w14:textFill>
              </w:rPr>
            </w:pPr>
          </w:p>
        </w:tc>
        <w:tc>
          <w:tcPr>
            <w:tcW w:w="442"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 w:type="pct"/>
            <w:vMerge w:val="continue"/>
            <w:shd w:val="clear" w:color="auto" w:fill="auto"/>
            <w:vAlign w:val="center"/>
          </w:tcPr>
          <w:p>
            <w:pPr>
              <w:rPr>
                <w:rFonts w:ascii="宋体" w:hAnsi="宋体"/>
                <w:color w:val="000000" w:themeColor="text1"/>
                <w:szCs w:val="21"/>
                <w14:textFill>
                  <w14:solidFill>
                    <w14:schemeClr w14:val="tx1"/>
                  </w14:solidFill>
                </w14:textFill>
              </w:rPr>
            </w:pPr>
          </w:p>
        </w:tc>
        <w:tc>
          <w:tcPr>
            <w:tcW w:w="979"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氮氧化物（%）</w:t>
            </w:r>
          </w:p>
        </w:tc>
        <w:tc>
          <w:tcPr>
            <w:tcW w:w="590"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市定目标</w:t>
            </w:r>
          </w:p>
        </w:tc>
        <w:tc>
          <w:tcPr>
            <w:tcW w:w="691"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市定目标</w:t>
            </w:r>
          </w:p>
        </w:tc>
        <w:tc>
          <w:tcPr>
            <w:tcW w:w="718" w:type="pct"/>
            <w:shd w:val="clear" w:color="auto" w:fill="auto"/>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完成市定目标</w:t>
            </w:r>
          </w:p>
        </w:tc>
        <w:tc>
          <w:tcPr>
            <w:tcW w:w="691" w:type="pct"/>
            <w:shd w:val="clear" w:color="auto" w:fill="auto"/>
            <w:vAlign w:val="center"/>
          </w:tcPr>
          <w:p>
            <w:pPr>
              <w:rPr>
                <w:rFonts w:ascii="宋体" w:hAnsi="宋体"/>
                <w:color w:val="000000" w:themeColor="text1"/>
                <w:szCs w:val="21"/>
                <w14:textFill>
                  <w14:solidFill>
                    <w14:schemeClr w14:val="tx1"/>
                  </w14:solidFill>
                </w14:textFill>
              </w:rPr>
            </w:pPr>
          </w:p>
        </w:tc>
        <w:tc>
          <w:tcPr>
            <w:tcW w:w="442" w:type="pct"/>
            <w:shd w:val="clear" w:color="auto" w:fill="auto"/>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约束性</w:t>
            </w:r>
          </w:p>
        </w:tc>
      </w:tr>
    </w:tbl>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12" w:name="_Toc71192346"/>
      <w:bookmarkStart w:id="13" w:name="_Toc51309185"/>
      <w:r>
        <w:rPr>
          <w:rFonts w:hint="eastAsia" w:ascii="Times New Roman" w:hAnsi="Times New Roman" w:eastAsia="楷体"/>
          <w:bCs w:val="0"/>
          <w:color w:val="000000" w:themeColor="text1"/>
          <w:szCs w:val="20"/>
          <w14:textFill>
            <w14:solidFill>
              <w14:schemeClr w14:val="tx1"/>
            </w14:solidFill>
          </w14:textFill>
        </w:rPr>
        <w:t>第二节 新发展阶段面临的新形势</w:t>
      </w:r>
      <w:bookmarkEnd w:id="12"/>
      <w:bookmarkEnd w:id="13"/>
    </w:p>
    <w:p>
      <w:pPr>
        <w:ind w:firstLine="640" w:firstLineChars="200"/>
        <w:jc w:val="left"/>
        <w:rPr>
          <w:rFonts w:ascii="仿宋_GB2312" w:hAnsi="华文仿宋" w:eastAsia="仿宋_GB2312"/>
          <w:color w:val="000000" w:themeColor="text1"/>
          <w:sz w:val="32"/>
          <w:szCs w:val="32"/>
          <w14:textFill>
            <w14:solidFill>
              <w14:schemeClr w14:val="tx1"/>
            </w14:solidFill>
          </w14:textFill>
        </w:rPr>
      </w:pPr>
      <w:r>
        <w:rPr>
          <w:rFonts w:ascii="仿宋_GB2312" w:hAnsi="华文仿宋" w:eastAsia="仿宋_GB2312"/>
          <w:color w:val="000000" w:themeColor="text1"/>
          <w:sz w:val="32"/>
          <w:szCs w:val="32"/>
          <w14:textFill>
            <w14:solidFill>
              <w14:schemeClr w14:val="tx1"/>
            </w14:solidFill>
          </w14:textFill>
        </w:rPr>
        <w:t>当今世界正经历百年未有之大变局，国际力量对比深刻调整</w:t>
      </w:r>
      <w:r>
        <w:rPr>
          <w:rFonts w:hint="eastAsia" w:ascii="仿宋_GB2312" w:hAnsi="华文仿宋" w:eastAsia="仿宋_GB2312"/>
          <w:color w:val="000000" w:themeColor="text1"/>
          <w:sz w:val="32"/>
          <w:szCs w:val="32"/>
          <w14:textFill>
            <w14:solidFill>
              <w14:schemeClr w14:val="tx1"/>
            </w14:solidFill>
          </w14:textFill>
        </w:rPr>
        <w:t>，</w:t>
      </w:r>
      <w:r>
        <w:rPr>
          <w:rFonts w:ascii="仿宋_GB2312" w:hAnsi="华文仿宋" w:eastAsia="仿宋_GB2312"/>
          <w:color w:val="000000" w:themeColor="text1"/>
          <w:sz w:val="32"/>
          <w:szCs w:val="32"/>
          <w14:textFill>
            <w14:solidFill>
              <w14:schemeClr w14:val="tx1"/>
            </w14:solidFill>
          </w14:textFill>
        </w:rPr>
        <w:t>我国已进入新发展阶段，</w:t>
      </w:r>
      <w:r>
        <w:rPr>
          <w:rFonts w:hint="eastAsia" w:ascii="仿宋_GB2312" w:hAnsi="华文仿宋" w:eastAsia="仿宋_GB2312"/>
          <w:color w:val="000000" w:themeColor="text1"/>
          <w:sz w:val="32"/>
          <w:szCs w:val="32"/>
          <w14:textFill>
            <w14:solidFill>
              <w14:schemeClr w14:val="tx1"/>
            </w14:solidFill>
          </w14:textFill>
        </w:rPr>
        <w:t>开启全面建设社会主义现代化新征程</w:t>
      </w:r>
      <w:r>
        <w:rPr>
          <w:rFonts w:ascii="仿宋_GB2312" w:hAnsi="华文仿宋" w:eastAsia="仿宋_GB2312"/>
          <w:color w:val="000000" w:themeColor="text1"/>
          <w:sz w:val="32"/>
          <w:szCs w:val="32"/>
          <w14:textFill>
            <w14:solidFill>
              <w14:schemeClr w14:val="tx1"/>
            </w14:solidFill>
          </w14:textFill>
        </w:rPr>
        <w:t>，我县发展仍处于重要战略机遇期</w:t>
      </w:r>
      <w:r>
        <w:rPr>
          <w:rFonts w:hint="eastAsia" w:ascii="仿宋_GB2312" w:hAnsi="华文仿宋" w:eastAsia="仿宋_GB2312"/>
          <w:color w:val="000000" w:themeColor="text1"/>
          <w:sz w:val="32"/>
          <w:szCs w:val="32"/>
          <w14:textFill>
            <w14:solidFill>
              <w14:schemeClr w14:val="tx1"/>
            </w14:solidFill>
          </w14:textFill>
        </w:rPr>
        <w:t>，</w:t>
      </w:r>
      <w:r>
        <w:rPr>
          <w:rFonts w:ascii="仿宋_GB2312" w:hAnsi="华文仿宋" w:eastAsia="仿宋_GB2312"/>
          <w:color w:val="000000" w:themeColor="text1"/>
          <w:sz w:val="32"/>
          <w:szCs w:val="32"/>
          <w14:textFill>
            <w14:solidFill>
              <w14:schemeClr w14:val="tx1"/>
            </w14:solidFill>
          </w14:textFill>
        </w:rPr>
        <w:t>但机遇和挑战都有新发展变化</w:t>
      </w:r>
      <w:r>
        <w:rPr>
          <w:rFonts w:hint="eastAsia" w:ascii="仿宋_GB2312" w:hAnsi="华文仿宋" w:eastAsia="仿宋_GB2312"/>
          <w:color w:val="000000" w:themeColor="text1"/>
          <w:sz w:val="32"/>
          <w:szCs w:val="32"/>
          <w14:textFill>
            <w14:solidFill>
              <w14:schemeClr w14:val="tx1"/>
            </w14:solidFill>
          </w14:textFill>
        </w:rPr>
        <w:t>。</w:t>
      </w:r>
    </w:p>
    <w:p>
      <w:pPr>
        <w:ind w:firstLine="643" w:firstLineChars="20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发展环境</w:t>
      </w:r>
      <w:r>
        <w:rPr>
          <w:rFonts w:hint="eastAsia" w:ascii="仿宋_GB2312" w:hAnsi="华文仿宋" w:eastAsia="仿宋_GB2312"/>
          <w:color w:val="000000" w:themeColor="text1"/>
          <w:sz w:val="32"/>
          <w:szCs w:val="32"/>
          <w14:textFill>
            <w14:solidFill>
              <w14:schemeClr w14:val="tx1"/>
            </w14:solidFill>
          </w14:textFill>
        </w:rPr>
        <w:t>。</w:t>
      </w:r>
      <w:r>
        <w:rPr>
          <w:rFonts w:hint="eastAsia" w:ascii="仿宋_GB2312" w:hAnsi="华文仿宋" w:eastAsia="仿宋_GB2312"/>
          <w:b/>
          <w:color w:val="000000" w:themeColor="text1"/>
          <w:sz w:val="32"/>
          <w:szCs w:val="32"/>
          <w14:textFill>
            <w14:solidFill>
              <w14:schemeClr w14:val="tx1"/>
            </w14:solidFill>
          </w14:textFill>
        </w:rPr>
        <w:t>从国际国内看</w:t>
      </w:r>
      <w:r>
        <w:rPr>
          <w:rFonts w:hint="eastAsia" w:ascii="仿宋_GB2312" w:hAnsi="华文仿宋" w:eastAsia="仿宋_GB2312"/>
          <w:color w:val="000000" w:themeColor="text1"/>
          <w:sz w:val="32"/>
          <w:szCs w:val="32"/>
          <w14:textFill>
            <w14:solidFill>
              <w14:schemeClr w14:val="tx1"/>
            </w14:solidFill>
          </w14:textFill>
        </w:rPr>
        <w:t>，国际不稳定不确定因素增加，我国经济长期向好，双循环格局正加快构建，同时发展不平衡不充分问题仍然突出。</w:t>
      </w:r>
      <w:r>
        <w:rPr>
          <w:rFonts w:hint="eastAsia" w:ascii="仿宋_GB2312" w:hAnsi="华文仿宋" w:eastAsia="仿宋_GB2312"/>
          <w:b/>
          <w:color w:val="000000" w:themeColor="text1"/>
          <w:sz w:val="32"/>
          <w:szCs w:val="32"/>
          <w14:textFill>
            <w14:solidFill>
              <w14:schemeClr w14:val="tx1"/>
            </w14:solidFill>
          </w14:textFill>
        </w:rPr>
        <w:t>从河南省看</w:t>
      </w:r>
      <w:r>
        <w:rPr>
          <w:rFonts w:hint="eastAsia" w:ascii="仿宋_GB2312" w:hAnsi="华文仿宋" w:eastAsia="仿宋_GB2312"/>
          <w:color w:val="000000" w:themeColor="text1"/>
          <w:sz w:val="32"/>
          <w:szCs w:val="32"/>
          <w14:textFill>
            <w14:solidFill>
              <w14:schemeClr w14:val="tx1"/>
            </w14:solidFill>
          </w14:textFill>
        </w:rPr>
        <w:t>，黄河流域生态保护和高质量发展上升为国家战略，经济发展由资本和劳动驱动向创新驱动转型，在全国发展大局中的地位不断提升，物流通道枢纽加速形成。</w:t>
      </w:r>
      <w:r>
        <w:rPr>
          <w:rFonts w:hint="eastAsia" w:ascii="仿宋_GB2312" w:hAnsi="华文仿宋" w:eastAsia="仿宋_GB2312"/>
          <w:b/>
          <w:color w:val="000000" w:themeColor="text1"/>
          <w:sz w:val="32"/>
          <w:szCs w:val="32"/>
          <w14:textFill>
            <w14:solidFill>
              <w14:schemeClr w14:val="tx1"/>
            </w14:solidFill>
          </w14:textFill>
        </w:rPr>
        <w:t>从商丘市看</w:t>
      </w:r>
      <w:r>
        <w:rPr>
          <w:rFonts w:hint="eastAsia" w:ascii="仿宋_GB2312" w:hAnsi="华文仿宋" w:eastAsia="仿宋_GB2312"/>
          <w:color w:val="000000" w:themeColor="text1"/>
          <w:sz w:val="32"/>
          <w:szCs w:val="32"/>
          <w14:textFill>
            <w14:solidFill>
              <w14:schemeClr w14:val="tx1"/>
            </w14:solidFill>
          </w14:textFill>
        </w:rPr>
        <w:t>，正加快建设国家区域中心城市，强力推进县域经济发展，增强提升包括制冷设备在内的13个重点产业链竞争力，持续放大特色产业优势。</w:t>
      </w:r>
    </w:p>
    <w:p>
      <w:pPr>
        <w:ind w:firstLine="643" w:firstLineChars="20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面临机遇。</w:t>
      </w:r>
      <w:r>
        <w:rPr>
          <w:rFonts w:hint="eastAsia" w:ascii="仿宋_GB2312" w:hAnsi="华文仿宋" w:eastAsia="仿宋_GB2312"/>
          <w:color w:val="000000" w:themeColor="text1"/>
          <w:sz w:val="32"/>
          <w:szCs w:val="32"/>
          <w14:textFill>
            <w14:solidFill>
              <w14:schemeClr w14:val="tx1"/>
            </w14:solidFill>
          </w14:textFill>
        </w:rPr>
        <w:t>“国内大循环”“国内国际双循环”新发展格局构建、河南省产业集聚区“二次创业”带来产业优化升级机遇</w:t>
      </w:r>
      <w:r>
        <w:rPr>
          <w:rFonts w:hint="eastAsia" w:ascii="仿宋_GB2312" w:hAnsi="Times New Roman" w:eastAsia="仿宋_GB2312"/>
          <w:color w:val="000000" w:themeColor="text1"/>
          <w:sz w:val="32"/>
          <w:szCs w:val="32"/>
          <w14:textFill>
            <w14:solidFill>
              <w14:schemeClr w14:val="tx1"/>
            </w14:solidFill>
          </w14:textFill>
        </w:rPr>
        <w:t>；</w:t>
      </w:r>
      <w:r>
        <w:rPr>
          <w:rFonts w:hint="eastAsia" w:ascii="仿宋_GB2312" w:hAnsi="华文仿宋" w:eastAsia="仿宋_GB2312"/>
          <w:color w:val="000000" w:themeColor="text1"/>
          <w:sz w:val="32"/>
          <w:szCs w:val="32"/>
          <w14:textFill>
            <w14:solidFill>
              <w14:schemeClr w14:val="tx1"/>
            </w14:solidFill>
          </w14:textFill>
        </w:rPr>
        <w:t>以人为本、集约高效、产城融合的新型城镇化带来人口转移、城市提质机遇；国家全面实施乡村振兴战略，带来农业产业化高端化特色化、农村现代化发展机遇；黄河流域生态保护和高质量发展、中原-长三角走廊构建、淮河生态经济带、郑州大都市圈建设、商丘国家区域中心城市建设等带来区域发展战略叠加、开放对接机遇；扩大内需潜力不断释放、国家重视县域经济发展，为特色资源和特色产业充分释放活力带来内需扩大机遇；新型基础设施建设、大数据、AI、云计算等新一轮信息技术带来经济社会各领域数字化融合创新发展机遇。</w:t>
      </w:r>
    </w:p>
    <w:p>
      <w:pPr>
        <w:ind w:firstLine="643" w:firstLineChars="20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面临挑战。</w:t>
      </w:r>
      <w:r>
        <w:rPr>
          <w:rFonts w:hint="eastAsia" w:ascii="仿宋_GB2312" w:hAnsi="华文仿宋" w:eastAsia="仿宋_GB2312"/>
          <w:color w:val="000000" w:themeColor="text1"/>
          <w:sz w:val="32"/>
          <w:szCs w:val="32"/>
          <w14:textFill>
            <w14:solidFill>
              <w14:schemeClr w14:val="tx1"/>
            </w14:solidFill>
          </w14:textFill>
        </w:rPr>
        <w:t>供给侧结构性改革更加紧迫，制冷工业产能结构性过剩，葡萄酒产业竞争力不强，新兴产业数量偏少、链条较短，规模效应还未显现。自主创新能力较弱，释放产能、拓展市场、优化产业、实现经济高质量发展的压力增加。发展空间有限，土地指标收紧，人工成本持续上升，生态环保刚性约束愈加严格。城乡建设和公共服务大范围提升，面临财政支出压力。外部环境不确定性增加，保障公共安全、生产安全和网络安全，对应急指挥、物资储备、各方协调等都提出更高要求。</w:t>
      </w:r>
    </w:p>
    <w:p>
      <w:pPr>
        <w:ind w:firstLine="643" w:firstLineChars="20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发展优势。</w:t>
      </w:r>
      <w:r>
        <w:rPr>
          <w:rFonts w:hint="eastAsia" w:ascii="仿宋_GB2312" w:hAnsi="华文仿宋" w:eastAsia="仿宋_GB2312"/>
          <w:color w:val="000000" w:themeColor="text1"/>
          <w:sz w:val="32"/>
          <w:szCs w:val="32"/>
          <w14:textFill>
            <w14:solidFill>
              <w14:schemeClr w14:val="tx1"/>
            </w14:solidFill>
          </w14:textFill>
        </w:rPr>
        <w:t>农业发展条件优越，高质量特色农产品种类丰富；工业基础较好，制冷产业链优势突出，绿色食品加工优势凸显；服务业潜力较大，商务服务、现代物流、文旅产业蓄势待发。交通区位优越，拥有立体化交通网络。生态环境优美，有豫东最大水面和亚洲四大人工防护林之一。文化资源丰富，是庄子文化之乡，拥有王公庄、白云禅寺等诸多文化载体。地域品牌多样，拥有中国驰名商标12件，具有中国冷谷、红酒之乡品牌优势。城市功能不断完善，宜居宜业的现代化城区框架已基本形成。产业资源基础较好，发展空间充足，后发优势突出。</w:t>
      </w:r>
    </w:p>
    <w:p>
      <w:pPr>
        <w:ind w:firstLine="643" w:firstLineChars="20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发展短板。</w:t>
      </w:r>
      <w:r>
        <w:rPr>
          <w:rFonts w:hint="eastAsia" w:ascii="仿宋_GB2312" w:hAnsi="华文仿宋" w:eastAsia="仿宋_GB2312"/>
          <w:color w:val="000000" w:themeColor="text1"/>
          <w:sz w:val="32"/>
          <w:szCs w:val="32"/>
          <w14:textFill>
            <w14:solidFill>
              <w14:schemeClr w14:val="tx1"/>
            </w14:solidFill>
          </w14:textFill>
        </w:rPr>
        <w:t>高质量发展体系还不完善，支撑作用不够强。产业竞争力不强，经济发展供给侧制约因素依然存在。居民收入不高，城镇化率偏低，产城融合需进一步推进。基础设施、公共服务供给与群众期待还有差距，新老城区之间、城乡之间、乡村之间（脱贫村与原非贫困村）发展不平衡问题依然存在。“十四五”及更长时期，我县仍面临以下矛盾：农产品知名度不高，与农业资源本底不匹配；自主创新能力弱，与工业品高知名度不匹配；服务业层次低，与生产、生活需求不匹配；文化旅游产业滞后，与优良生态文化资源本底不匹配；城市品质不优，与建设区域性中心城市定位不匹配；优质公共服务不足，与民众更高期待不匹配。</w:t>
      </w:r>
    </w:p>
    <w:p>
      <w:pPr>
        <w:ind w:firstLine="643" w:firstLineChars="20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进入关键发展阶段。</w:t>
      </w:r>
      <w:r>
        <w:rPr>
          <w:rFonts w:hint="eastAsia" w:ascii="仿宋_GB2312" w:hAnsi="华文仿宋" w:eastAsia="仿宋_GB2312"/>
          <w:color w:val="000000" w:themeColor="text1"/>
          <w:sz w:val="32"/>
          <w:szCs w:val="32"/>
          <w14:textFill>
            <w14:solidFill>
              <w14:schemeClr w14:val="tx1"/>
            </w14:solidFill>
          </w14:textFill>
        </w:rPr>
        <w:t>产业结构以中低端为主向中高端为主转型、奠定未来发展格局的关键阶段；创新从平台载体建设到创新引领的关键阶段；开放经济进入拉动地方经济发展的关键阶段；城市建设由空间扩张向品质提升转变、新型城镇化提速的关键阶段；乡村进入全面振兴、城乡融合发展的关键阶段；经济、社会和生态建设进入更高质量、更可持续、更加协调的关键阶段。</w:t>
      </w:r>
    </w:p>
    <w:p>
      <w:pPr>
        <w:ind w:firstLine="640" w:firstLineChars="200"/>
        <w:jc w:val="left"/>
        <w:rPr>
          <w:rFonts w:ascii="仿宋_GB2312" w:hAnsi="华文仿宋" w:eastAsia="仿宋_GB2312"/>
          <w:bCs/>
          <w:color w:val="000000" w:themeColor="text1"/>
          <w:sz w:val="32"/>
          <w:szCs w:val="32"/>
          <w14:textFill>
            <w14:solidFill>
              <w14:schemeClr w14:val="tx1"/>
            </w14:solidFill>
          </w14:textFill>
        </w:rPr>
      </w:pPr>
      <w:r>
        <w:rPr>
          <w:rFonts w:hint="eastAsia" w:ascii="仿宋_GB2312" w:hAnsi="华文仿宋" w:eastAsia="仿宋_GB2312"/>
          <w:bCs/>
          <w:color w:val="000000" w:themeColor="text1"/>
          <w:sz w:val="32"/>
          <w:szCs w:val="32"/>
          <w14:textFill>
            <w14:solidFill>
              <w14:schemeClr w14:val="tx1"/>
            </w14:solidFill>
          </w14:textFill>
        </w:rPr>
        <w:t>综合研判，我县仍处于战略叠加的重要机遇期，必须胸怀“两个大局”，增强机遇意识和风险意识，坚持发展第一要务不动摇，立足新发展阶段，坚持新发展理念，融入新发展格局，推动高质量发展，坚持稳中求进工作总基调，保持战略定力，在危机中育先机、于变局中开新局，更加有效地破解发展难题，开创新时代民权人民美好生活壮丽新篇章。</w:t>
      </w:r>
    </w:p>
    <w:bookmarkEnd w:id="3"/>
    <w:bookmarkEnd w:id="4"/>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14" w:name="_Toc71192347"/>
      <w:r>
        <w:rPr>
          <w:rFonts w:hint="eastAsia" w:ascii="Times New Roman" w:hAnsi="Times New Roman" w:eastAsia="楷体"/>
          <w:bCs w:val="0"/>
          <w:color w:val="000000" w:themeColor="text1"/>
          <w:szCs w:val="20"/>
          <w14:textFill>
            <w14:solidFill>
              <w14:schemeClr w14:val="tx1"/>
            </w14:solidFill>
          </w14:textFill>
        </w:rPr>
        <w:t>第三节 指导思想</w:t>
      </w:r>
      <w:bookmarkEnd w:id="14"/>
    </w:p>
    <w:p>
      <w:pPr>
        <w:ind w:firstLine="640" w:firstLineChars="200"/>
        <w:rPr>
          <w:rFonts w:ascii="仿宋" w:hAnsi="仿宋" w:eastAsia="仿宋_GB2312"/>
          <w:b/>
          <w:color w:val="000000" w:themeColor="text1"/>
          <w:sz w:val="32"/>
          <w:szCs w:val="32"/>
          <w14:textFill>
            <w14:solidFill>
              <w14:schemeClr w14:val="tx1"/>
            </w14:solidFill>
          </w14:textFill>
        </w:rPr>
      </w:pPr>
      <w:r>
        <w:rPr>
          <w:rFonts w:hint="eastAsia" w:ascii="仿宋" w:hAnsi="仿宋" w:eastAsia="仿宋_GB2312"/>
          <w:color w:val="000000" w:themeColor="text1"/>
          <w:sz w:val="32"/>
          <w:szCs w:val="32"/>
          <w14:textFill>
            <w14:solidFill>
              <w14:schemeClr w14:val="tx1"/>
            </w14:solidFill>
          </w14:textFill>
        </w:rPr>
        <w:t>“十四五”</w:t>
      </w:r>
      <w:r>
        <w:rPr>
          <w:rFonts w:hint="eastAsia" w:ascii="仿宋_GB2312" w:hAnsi="华文仿宋" w:eastAsia="仿宋_GB2312"/>
          <w:color w:val="000000" w:themeColor="text1"/>
          <w:sz w:val="32"/>
          <w:szCs w:val="32"/>
          <w14:textFill>
            <w14:solidFill>
              <w14:schemeClr w14:val="tx1"/>
            </w14:solidFill>
          </w14:textFill>
        </w:rPr>
        <w:t>时期民权县经</w:t>
      </w:r>
      <w:r>
        <w:rPr>
          <w:rFonts w:hint="eastAsia" w:ascii="仿宋" w:hAnsi="仿宋" w:eastAsia="仿宋_GB2312"/>
          <w:color w:val="000000" w:themeColor="text1"/>
          <w:sz w:val="32"/>
          <w:szCs w:val="32"/>
          <w14:textFill>
            <w14:solidFill>
              <w14:schemeClr w14:val="tx1"/>
            </w14:solidFill>
          </w14:textFill>
        </w:rPr>
        <w:t>济社会发展的指导思想为：</w:t>
      </w:r>
      <w:r>
        <w:rPr>
          <w:rFonts w:hint="eastAsia" w:ascii="仿宋" w:hAnsi="仿宋" w:eastAsia="仿宋_GB2312"/>
          <w:b/>
          <w:color w:val="000000" w:themeColor="text1"/>
          <w:sz w:val="32"/>
          <w:szCs w:val="32"/>
          <w14:textFill>
            <w14:solidFill>
              <w14:schemeClr w14:val="tx1"/>
            </w14:solidFill>
          </w14:textFill>
        </w:rPr>
        <w:t>高举中国特色社会主义伟大旗帜，深入贯彻党的十九大和十九届二中、三中、四中、五中全会精神，坚持以马克思列宁主义、毛泽东思想、邓小平理论、“三个代表”重要思想、科学发展观、习近平新时代中国特色社会主义思想为指导，深入学习贯彻习近平总书记视察河南工作的重要讲话和指示批示精神，全面贯彻党的基本理论、基本路线、基本方略，统筹推进“五位一体”总体布局、协调推进“四个全面”战略布局，坚定不移贯彻新发展理念，坚持稳中求进工作总基调，深入落实“四个着力”、持续打好“四张牌”，围绕市委五届十二次会议精神和工作部署，按照县委十二届十次会议要求，以推动高质量发展为主题，以深化供给侧结构性改革为主线，以改革创新为根本动力，以满足人民日益增长的美好生活需要为根本目的，统筹发展和安全，着力推进“六城一中心”建设，加快构建现代化经济体系，积极服务构建以国内大循环为主体、国内国际双循环相互促进的新发展格局，加快推进治理体系和治理能力现代化，持续营造学的氛围、严的氛围、干的氛围，以党的建设高质量推动经济社会发展高质量，确保全面建设社会主义现代化新征程开好局、起好步，谱写新时代中原更加出彩的民权绚丽篇章。</w:t>
      </w:r>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15" w:name="_Toc71192348"/>
      <w:r>
        <w:rPr>
          <w:rFonts w:hint="eastAsia" w:ascii="Times New Roman" w:hAnsi="Times New Roman" w:eastAsia="楷体"/>
          <w:bCs w:val="0"/>
          <w:color w:val="000000" w:themeColor="text1"/>
          <w:szCs w:val="20"/>
          <w14:textFill>
            <w14:solidFill>
              <w14:schemeClr w14:val="tx1"/>
            </w14:solidFill>
          </w14:textFill>
        </w:rPr>
        <w:t>第四节 基本原则</w:t>
      </w:r>
      <w:bookmarkEnd w:id="15"/>
    </w:p>
    <w:p>
      <w:pPr>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坚持党的全面领导。</w:t>
      </w:r>
      <w:r>
        <w:rPr>
          <w:rFonts w:hint="eastAsia" w:ascii="仿宋_GB2312" w:hAnsi="仿宋" w:eastAsia="仿宋_GB2312"/>
          <w:color w:val="000000" w:themeColor="text1"/>
          <w:sz w:val="32"/>
          <w:szCs w:val="32"/>
          <w14:textFill>
            <w14:solidFill>
              <w14:schemeClr w14:val="tx1"/>
            </w14:solidFill>
          </w14:textFill>
        </w:rPr>
        <w:t>坚持和完善党领导经济社会发展的体制机制，发挥党总揽全局、协调各方的作用，坚持和完善中国特色社会主义制度，不断提高贯彻新发展理念、构建新发展格局能力和水平，为实现高质量发展提供根本保证。</w:t>
      </w:r>
    </w:p>
    <w:p>
      <w:pPr>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坚持以人民为中心。</w:t>
      </w:r>
      <w:r>
        <w:rPr>
          <w:rFonts w:hint="eastAsia" w:ascii="仿宋_GB2312" w:hAnsi="仿宋" w:eastAsia="仿宋_GB2312"/>
          <w:color w:val="000000" w:themeColor="text1"/>
          <w:sz w:val="32"/>
          <w:szCs w:val="32"/>
          <w14:textFill>
            <w14:solidFill>
              <w14:schemeClr w14:val="tx1"/>
            </w14:solidFill>
          </w14:textFill>
        </w:rPr>
        <w:t>坚持人民主体地位，坚持共同富裕方向，始终坚持发展为了人民、发展依靠人民、发展成果由人民共享，始终同群众站在一起、干在一起、拼在一起，维护人民利益，不断增进人民福祉、促进人的全面发展，不断实现人民群众对美好生活的向往。</w:t>
      </w:r>
    </w:p>
    <w:p>
      <w:pPr>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坚持新发展理念。</w:t>
      </w:r>
      <w:r>
        <w:rPr>
          <w:rFonts w:hint="eastAsia" w:ascii="仿宋_GB2312" w:hAnsi="仿宋" w:eastAsia="仿宋_GB2312"/>
          <w:color w:val="000000" w:themeColor="text1"/>
          <w:sz w:val="32"/>
          <w:szCs w:val="32"/>
          <w14:textFill>
            <w14:solidFill>
              <w14:schemeClr w14:val="tx1"/>
            </w14:solidFill>
          </w14:textFill>
        </w:rPr>
        <w:t>把新发展理念贯穿于现代化建设全过程，转变发展方式，以保促稳、稳中求进、进中蓄势，加快转型升级和提质增效，融入新发展格局，实现更高质量、更有效率、更加公平、更可持续、更为安全的发展。</w:t>
      </w:r>
    </w:p>
    <w:p>
      <w:pPr>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坚持深化改革开放。</w:t>
      </w:r>
      <w:r>
        <w:rPr>
          <w:rFonts w:hint="eastAsia" w:ascii="仿宋_GB2312" w:hAnsi="仿宋" w:eastAsia="仿宋_GB2312"/>
          <w:color w:val="000000" w:themeColor="text1"/>
          <w:sz w:val="32"/>
          <w:szCs w:val="32"/>
          <w14:textFill>
            <w14:solidFill>
              <w14:schemeClr w14:val="tx1"/>
            </w14:solidFill>
          </w14:textFill>
        </w:rPr>
        <w:t>全面深化改革，全方位提升对内对外开放水平，加强治理体系和治理能力现代化建设，破除制约高质量发展、高品质生活的体制机制障碍，强化有利于提高资源配置效率、有利于调动全社会积极性的重大改革开放举措，持续增强发展动力和活力。</w:t>
      </w:r>
    </w:p>
    <w:p>
      <w:pPr>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坚持系统观念。</w:t>
      </w:r>
      <w:r>
        <w:rPr>
          <w:rFonts w:hint="eastAsia" w:ascii="仿宋_GB2312" w:hAnsi="仿宋" w:eastAsia="仿宋_GB2312"/>
          <w:color w:val="000000" w:themeColor="text1"/>
          <w:sz w:val="32"/>
          <w:szCs w:val="32"/>
          <w14:textFill>
            <w14:solidFill>
              <w14:schemeClr w14:val="tx1"/>
            </w14:solidFill>
          </w14:textFill>
        </w:rPr>
        <w:t>坚持全县一盘棋，加强前瞻性思考、全局性谋划、战略性布局、整体性推进，更好发挥各级各部门积极性，固根基、扬优势、补短板、强弱项，防范化解重大风险挑战，不断增强发展整体性、协调性和可持续性，实现发展质量、结构、规模、速度、效益和稳定相统一。</w:t>
      </w:r>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16" w:name="_Toc71192349"/>
      <w:r>
        <w:rPr>
          <w:rFonts w:hint="eastAsia" w:ascii="Times New Roman" w:hAnsi="Times New Roman" w:eastAsia="楷体"/>
          <w:bCs w:val="0"/>
          <w:color w:val="000000" w:themeColor="text1"/>
          <w:szCs w:val="20"/>
          <w14:textFill>
            <w14:solidFill>
              <w14:schemeClr w14:val="tx1"/>
            </w14:solidFill>
          </w14:textFill>
        </w:rPr>
        <w:t>第五节 定位与目标</w:t>
      </w:r>
      <w:bookmarkEnd w:id="16"/>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立足民权县的区位优势、交通优势、资源禀赋、产业基础、生态资源、文化积淀、发展水平和发展趋势，</w:t>
      </w:r>
      <w:r>
        <w:rPr>
          <w:rFonts w:hint="eastAsia" w:ascii="仿宋_GB2312" w:hAnsi="仿宋" w:eastAsia="仿宋_GB2312" w:cs="仿宋"/>
          <w:color w:val="000000" w:themeColor="text1"/>
          <w:sz w:val="32"/>
          <w:szCs w:val="32"/>
          <w14:textFill>
            <w14:solidFill>
              <w14:schemeClr w14:val="tx1"/>
            </w14:solidFill>
          </w14:textFill>
        </w:rPr>
        <w:t>“十四五”时期民权县的发展定位是：</w:t>
      </w:r>
      <w:r>
        <w:rPr>
          <w:rFonts w:hint="eastAsia" w:ascii="仿宋_GB2312" w:hAnsi="仿宋" w:eastAsia="仿宋_GB2312" w:cs="仿宋"/>
          <w:b/>
          <w:bCs/>
          <w:color w:val="000000" w:themeColor="text1"/>
          <w:sz w:val="32"/>
          <w:szCs w:val="32"/>
          <w14:textFill>
            <w14:solidFill>
              <w14:schemeClr w14:val="tx1"/>
            </w14:solidFill>
          </w14:textFill>
        </w:rPr>
        <w:t>围绕撤县设市总目标，着力打造“六城一中心”，“六城”即高质量新型制冷装备城、高水平乡村振兴示范城、高标准全域生态文明城、高能级交通物流枢纽城、高层次黄河故道文旅城、高品质美丽幸福宜居城，“一中心”即商丘西部区域性中心城市。</w:t>
      </w:r>
    </w:p>
    <w:p>
      <w:pPr>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2035年远景目标。</w:t>
      </w:r>
      <w:r>
        <w:rPr>
          <w:rFonts w:hint="eastAsia" w:ascii="仿宋_GB2312" w:hAnsi="仿宋" w:eastAsia="仿宋_GB2312"/>
          <w:color w:val="000000" w:themeColor="text1"/>
          <w:sz w:val="32"/>
          <w:szCs w:val="32"/>
          <w14:textFill>
            <w14:solidFill>
              <w14:schemeClr w14:val="tx1"/>
            </w14:solidFill>
          </w14:textFill>
        </w:rPr>
        <w:t>展望2035年，我县基本实现社会主义现代化，综合经济实力大幅跃升，经济总量和城乡居民人均收入迈上新的台阶，中等收入群体显著扩大。科技创新支撑引领高质量发展，基本实现新型工业化、信息化、城镇化、农业现代化，建成现代化经济体系。基本实现县域治理体系和治理能力现代化，人民平等参与、平等发展权利得到充分保障，基本建成法治政府、法治社会，平安民权建设达到更高水平。建成文化强县、教育强县、健康民权，全民素质和社会文明程度达到新高度，城市文化软实力显著增强。生态环境实现根本好转，人与自然和谐发展现代化新格局基本形成。基本公共服务实现均等化，城乡发展差距和居民生活水平差距显著缩小；人民生活更加美好，人的全面发展、全体人民共同富裕取得更为明显的实质性进展。</w:t>
      </w:r>
    </w:p>
    <w:p>
      <w:pPr>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“十四五”发展目标。</w:t>
      </w:r>
      <w:r>
        <w:rPr>
          <w:rFonts w:hint="eastAsia" w:ascii="仿宋_GB2312" w:hAnsi="仿宋" w:eastAsia="仿宋_GB2312"/>
          <w:color w:val="000000" w:themeColor="text1"/>
          <w:sz w:val="32"/>
          <w:szCs w:val="32"/>
          <w14:textFill>
            <w14:solidFill>
              <w14:schemeClr w14:val="tx1"/>
            </w14:solidFill>
          </w14:textFill>
        </w:rPr>
        <w:t>按照我县发展定位，锚定2035年远景目标，综合考虑国内外发展趋势和我国发展条件，坚持目标导向和问题导向相结合，坚持守正和创新相统一，围绕谱写新时代中原更加出彩的民权绚丽篇章，今后五年全县经济社会发展要努力实现如下主要目标：</w:t>
      </w:r>
    </w:p>
    <w:p>
      <w:pPr>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——经济发展实现新跨越。</w:t>
      </w:r>
      <w:r>
        <w:rPr>
          <w:rFonts w:hint="eastAsia" w:ascii="仿宋_GB2312" w:hAnsi="仿宋" w:eastAsia="仿宋_GB2312"/>
          <w:color w:val="000000" w:themeColor="text1"/>
          <w:sz w:val="32"/>
          <w:szCs w:val="32"/>
          <w14:textFill>
            <w14:solidFill>
              <w14:schemeClr w14:val="tx1"/>
            </w14:solidFill>
          </w14:textFill>
        </w:rPr>
        <w:t>坚持新发展理念，在提高发展平衡性、包容性、可持续性的基础上，保持经济中高速增长，主要经济指标年均增速高于全国、省、市平均水平，经济结构更加优化，第二、三产业增加值占地区生产总值的比重稳步提高，农业基础更加稳固，产业基础高级化和产业链现代化水平显著提升，经济增长质量和效益明显提高。</w:t>
      </w:r>
    </w:p>
    <w:p>
      <w:pPr>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——“一区四园”实现新发展。</w:t>
      </w:r>
      <w:r>
        <w:rPr>
          <w:rFonts w:hint="eastAsia" w:ascii="仿宋_GB2312" w:hAnsi="仿宋" w:eastAsia="仿宋_GB2312"/>
          <w:color w:val="000000" w:themeColor="text1"/>
          <w:sz w:val="32"/>
          <w:szCs w:val="32"/>
          <w14:textFill>
            <w14:solidFill>
              <w14:schemeClr w14:val="tx1"/>
            </w14:solidFill>
          </w14:textFill>
        </w:rPr>
        <w:t>高新区要提升以制冷设备、冷链物流为主的新型制冷装备制造业和以葡萄酒为主的食品加工业，壮大新型制冷装备制造产业集群，争创国家级高新区。通航产业园临空经济发展取得明显成效。循环经济园以循环经济为出发点，打造全市环保教育基地和资源循环利用基地。建设综合保税物流园，加快申报民权综合保税区。加快静脉产业园建设。</w:t>
      </w:r>
    </w:p>
    <w:p>
      <w:pPr>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——创新能力实现新突破。</w:t>
      </w:r>
      <w:r>
        <w:rPr>
          <w:rFonts w:hint="eastAsia" w:ascii="仿宋_GB2312" w:hAnsi="仿宋" w:eastAsia="仿宋_GB2312"/>
          <w:color w:val="000000" w:themeColor="text1"/>
          <w:sz w:val="32"/>
          <w:szCs w:val="32"/>
          <w14:textFill>
            <w14:solidFill>
              <w14:schemeClr w14:val="tx1"/>
            </w14:solidFill>
          </w14:textFill>
        </w:rPr>
        <w:t>科技创新综合实力显著增强，制冷产业完成向新型制冷装备制造业转变，葡萄酒加工业向知名品牌发展，培育引进一批有一定影响力和知名度的高新技术企业和研发机构，创新链、产业链高度融合的体制机制全面建立，主要指标进入全省全市前列，创新型城市建设取得重大进展。</w:t>
      </w:r>
    </w:p>
    <w:p>
      <w:pPr>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——城乡融合开创新局面。</w:t>
      </w:r>
      <w:r>
        <w:rPr>
          <w:rFonts w:hint="eastAsia" w:ascii="仿宋_GB2312" w:hAnsi="仿宋" w:eastAsia="仿宋_GB2312"/>
          <w:color w:val="000000" w:themeColor="text1"/>
          <w:sz w:val="32"/>
          <w:szCs w:val="32"/>
          <w14:textFill>
            <w14:solidFill>
              <w14:schemeClr w14:val="tx1"/>
            </w14:solidFill>
          </w14:textFill>
        </w:rPr>
        <w:t>城乡协调发展体制机制基本建立，城乡规划、产业发展、基础设施、就业社保、社会管理等城乡一体化体系日益完善。商丘西部区域性中心城市地位明显提升，城乡空间布局全面优化，城区内涵品质全面提升，城区功能片区实现互联互融，镇区功能明显提升，农村生产生活明显提高，城乡融合发展新格局基本形成。</w:t>
      </w:r>
    </w:p>
    <w:p>
      <w:pPr>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——民生改善达到新水平。</w:t>
      </w:r>
      <w:r>
        <w:rPr>
          <w:rFonts w:hint="eastAsia" w:ascii="仿宋_GB2312" w:hAnsi="仿宋" w:eastAsia="仿宋_GB2312"/>
          <w:color w:val="000000" w:themeColor="text1"/>
          <w:sz w:val="32"/>
          <w:szCs w:val="32"/>
          <w14:textFill>
            <w14:solidFill>
              <w14:schemeClr w14:val="tx1"/>
            </w14:solidFill>
          </w14:textFill>
        </w:rPr>
        <w:t>城乡居民可支配收入增速与经济增长速度保持同步，力争保持全省全市先进位次。全民受教育程度明显提升，就业质量更高、更充分。公共服务体系更加健全，基本公共服务均等化水平稳步提高，人民群众获得感幸福感满意度明显提升。</w:t>
      </w:r>
    </w:p>
    <w:p>
      <w:pPr>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——生态建设取得新成效。</w:t>
      </w:r>
      <w:r>
        <w:rPr>
          <w:rFonts w:hint="eastAsia" w:ascii="仿宋_GB2312" w:hAnsi="仿宋" w:eastAsia="仿宋_GB2312"/>
          <w:color w:val="000000" w:themeColor="text1"/>
          <w:sz w:val="32"/>
          <w:szCs w:val="32"/>
          <w14:textFill>
            <w14:solidFill>
              <w14:schemeClr w14:val="tx1"/>
            </w14:solidFill>
          </w14:textFill>
        </w:rPr>
        <w:t>坚持生态环境质量改善与经济效益同步，生态文明制度体系基本建成，资源利用效率显著提高，生产生活方式绿色转型成效明显，生态环境持续改善，蓝天、碧水、净土攻坚战成效显著，生态保护和环境治理走在全市前列。</w:t>
      </w:r>
    </w:p>
    <w:p>
      <w:pPr>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——文明程度得到新提升。</w:t>
      </w:r>
      <w:r>
        <w:rPr>
          <w:rFonts w:hint="eastAsia" w:ascii="仿宋_GB2312" w:hAnsi="仿宋" w:eastAsia="仿宋_GB2312"/>
          <w:color w:val="000000" w:themeColor="text1"/>
          <w:sz w:val="32"/>
          <w:szCs w:val="32"/>
          <w14:textFill>
            <w14:solidFill>
              <w14:schemeClr w14:val="tx1"/>
            </w14:solidFill>
          </w14:textFill>
        </w:rPr>
        <w:t>社会主义核心价值观更加深入人心，争创全国文明城市，全民思想道德素质、科学文化素质和身心健康素质显著提高。文化事业和文化产业蓬勃创新发展，庄子文化、黄河故道文化、红色文化、虎文化进一步弘扬。</w:t>
      </w:r>
    </w:p>
    <w:p>
      <w:pPr>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——治理能力迈上新台阶。</w:t>
      </w:r>
      <w:r>
        <w:rPr>
          <w:rFonts w:hint="eastAsia" w:ascii="仿宋_GB2312" w:hAnsi="仿宋" w:eastAsia="仿宋_GB2312"/>
          <w:color w:val="000000" w:themeColor="text1"/>
          <w:sz w:val="32"/>
          <w:szCs w:val="32"/>
          <w14:textFill>
            <w14:solidFill>
              <w14:schemeClr w14:val="tx1"/>
            </w14:solidFill>
          </w14:textFill>
        </w:rPr>
        <w:t>社会主义民主法治更加健全，全面依法治县深入推进，法治民权建设开创新局面。社会公平正义得到有效维护，服务型政府加快建设，社会治理水平明显提高，基层治理走在全市前列，政府作用更好发挥，行政效率和公信力显著提升。防范化解重大风险体制机制不断健全，突发公共事件应急能力显著增强，发展安全保障更加有力。</w:t>
      </w:r>
    </w:p>
    <w:tbl>
      <w:tblPr>
        <w:tblStyle w:val="20"/>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5"/>
        <w:gridCol w:w="1065"/>
        <w:gridCol w:w="1370"/>
        <w:gridCol w:w="1432"/>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3" w:type="dxa"/>
            <w:gridSpan w:val="5"/>
            <w:shd w:val="clear" w:color="auto" w:fill="auto"/>
            <w:vAlign w:val="center"/>
          </w:tcPr>
          <w:p>
            <w:pPr>
              <w:rPr>
                <w:rFonts w:ascii="Times New Roman" w:hAnsi="Times New Roman" w:eastAsia="黑体"/>
                <w:color w:val="000000" w:themeColor="text1"/>
                <w:kern w:val="0"/>
                <w:sz w:val="24"/>
                <w:szCs w:val="24"/>
                <w14:textFill>
                  <w14:solidFill>
                    <w14:schemeClr w14:val="tx1"/>
                  </w14:solidFill>
                </w14:textFill>
              </w:rPr>
            </w:pPr>
            <w:bookmarkStart w:id="17" w:name="_Hlk69483873"/>
            <w:r>
              <w:rPr>
                <w:rFonts w:ascii="Times New Roman" w:hAnsi="Times New Roman" w:eastAsia="黑体"/>
                <w:color w:val="000000" w:themeColor="text1"/>
                <w:kern w:val="0"/>
                <w:sz w:val="24"/>
                <w:szCs w:val="24"/>
                <w14:textFill>
                  <w14:solidFill>
                    <w14:schemeClr w14:val="tx1"/>
                  </w14:solidFill>
                </w14:textFill>
              </w:rPr>
              <w:t>专栏</w:t>
            </w:r>
            <w:r>
              <w:rPr>
                <w:rFonts w:hint="eastAsia" w:ascii="Times New Roman" w:hAnsi="Times New Roman" w:eastAsia="黑体"/>
                <w:color w:val="000000" w:themeColor="text1"/>
                <w:kern w:val="0"/>
                <w:sz w:val="24"/>
                <w:szCs w:val="24"/>
                <w14:textFill>
                  <w14:solidFill>
                    <w14:schemeClr w14:val="tx1"/>
                  </w14:solidFill>
                </w14:textFill>
              </w:rPr>
              <w:t>1</w:t>
            </w:r>
            <w:r>
              <w:rPr>
                <w:rFonts w:ascii="Times New Roman" w:hAnsi="Times New Roman" w:eastAsia="黑体"/>
                <w:color w:val="000000" w:themeColor="text1"/>
                <w:kern w:val="0"/>
                <w:sz w:val="24"/>
                <w:szCs w:val="24"/>
                <w14:textFill>
                  <w14:solidFill>
                    <w14:schemeClr w14:val="tx1"/>
                  </w14:solidFill>
                </w14:textFill>
              </w:rPr>
              <w:t>-</w:t>
            </w:r>
            <w:r>
              <w:rPr>
                <w:rFonts w:hint="eastAsia" w:ascii="Times New Roman" w:hAnsi="Times New Roman" w:eastAsia="黑体"/>
                <w:color w:val="000000" w:themeColor="text1"/>
                <w:kern w:val="0"/>
                <w:sz w:val="24"/>
                <w:szCs w:val="24"/>
                <w14:textFill>
                  <w14:solidFill>
                    <w14:schemeClr w14:val="tx1"/>
                  </w14:solidFill>
                </w14:textFill>
              </w:rPr>
              <w:t>2</w:t>
            </w:r>
            <w:r>
              <w:rPr>
                <w:rFonts w:ascii="Times New Roman" w:hAnsi="Times New Roman" w:eastAsia="黑体"/>
                <w:color w:val="000000" w:themeColor="text1"/>
                <w:kern w:val="0"/>
                <w:sz w:val="24"/>
                <w:szCs w:val="24"/>
                <w14:textFill>
                  <w14:solidFill>
                    <w14:schemeClr w14:val="tx1"/>
                  </w14:solidFill>
                </w14:textFill>
              </w:rPr>
              <w:t>：“十四五”时期经济社会发展主要目标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5" w:type="dxa"/>
            <w:shd w:val="clear" w:color="auto" w:fill="auto"/>
            <w:vAlign w:val="center"/>
          </w:tcPr>
          <w:p>
            <w:pPr>
              <w:jc w:val="center"/>
              <w:rPr>
                <w:rFonts w:ascii="Times New Roman" w:hAnsi="Times New Roman"/>
                <w:b/>
                <w:color w:val="000000" w:themeColor="text1"/>
                <w:kern w:val="0"/>
                <w:szCs w:val="21"/>
                <w14:textFill>
                  <w14:solidFill>
                    <w14:schemeClr w14:val="tx1"/>
                  </w14:solidFill>
                </w14:textFill>
              </w:rPr>
            </w:pPr>
            <w:r>
              <w:rPr>
                <w:rFonts w:ascii="Times New Roman" w:hAnsi="Times New Roman"/>
                <w:b/>
                <w:color w:val="000000" w:themeColor="text1"/>
                <w:kern w:val="0"/>
                <w:szCs w:val="21"/>
                <w14:textFill>
                  <w14:solidFill>
                    <w14:schemeClr w14:val="tx1"/>
                  </w14:solidFill>
                </w14:textFill>
              </w:rPr>
              <w:t>指</w:t>
            </w:r>
            <w:r>
              <w:rPr>
                <w:rFonts w:hint="eastAsia" w:ascii="Times New Roman" w:hAnsi="Times New Roman"/>
                <w:b/>
                <w:color w:val="000000" w:themeColor="text1"/>
                <w:kern w:val="0"/>
                <w:szCs w:val="21"/>
                <w14:textFill>
                  <w14:solidFill>
                    <w14:schemeClr w14:val="tx1"/>
                  </w14:solidFill>
                </w14:textFill>
              </w:rPr>
              <w:t xml:space="preserve">  </w:t>
            </w:r>
            <w:r>
              <w:rPr>
                <w:rFonts w:ascii="Times New Roman" w:hAnsi="Times New Roman"/>
                <w:b/>
                <w:color w:val="000000" w:themeColor="text1"/>
                <w:kern w:val="0"/>
                <w:szCs w:val="21"/>
                <w14:textFill>
                  <w14:solidFill>
                    <w14:schemeClr w14:val="tx1"/>
                  </w14:solidFill>
                </w14:textFill>
              </w:rPr>
              <w:t>标</w:t>
            </w:r>
          </w:p>
        </w:tc>
        <w:tc>
          <w:tcPr>
            <w:tcW w:w="1065" w:type="dxa"/>
            <w:shd w:val="clear" w:color="auto" w:fill="auto"/>
            <w:vAlign w:val="center"/>
          </w:tcPr>
          <w:p>
            <w:pPr>
              <w:jc w:val="center"/>
              <w:rPr>
                <w:rFonts w:ascii="Times New Roman" w:hAnsi="Times New Roman"/>
                <w:b/>
                <w:color w:val="000000" w:themeColor="text1"/>
                <w:kern w:val="0"/>
                <w:szCs w:val="21"/>
                <w14:textFill>
                  <w14:solidFill>
                    <w14:schemeClr w14:val="tx1"/>
                  </w14:solidFill>
                </w14:textFill>
              </w:rPr>
            </w:pPr>
            <w:r>
              <w:rPr>
                <w:rFonts w:ascii="Times New Roman" w:hAnsi="Times New Roman"/>
                <w:b/>
                <w:color w:val="000000" w:themeColor="text1"/>
                <w:kern w:val="0"/>
                <w:szCs w:val="21"/>
                <w14:textFill>
                  <w14:solidFill>
                    <w14:schemeClr w14:val="tx1"/>
                  </w14:solidFill>
                </w14:textFill>
              </w:rPr>
              <w:t>2020年</w:t>
            </w:r>
          </w:p>
        </w:tc>
        <w:tc>
          <w:tcPr>
            <w:tcW w:w="1370" w:type="dxa"/>
            <w:shd w:val="clear" w:color="auto" w:fill="auto"/>
            <w:vAlign w:val="center"/>
          </w:tcPr>
          <w:p>
            <w:pPr>
              <w:jc w:val="center"/>
              <w:rPr>
                <w:rFonts w:ascii="Times New Roman" w:hAnsi="Times New Roman"/>
                <w:b/>
                <w:color w:val="000000" w:themeColor="text1"/>
                <w:kern w:val="0"/>
                <w:szCs w:val="21"/>
                <w14:textFill>
                  <w14:solidFill>
                    <w14:schemeClr w14:val="tx1"/>
                  </w14:solidFill>
                </w14:textFill>
              </w:rPr>
            </w:pPr>
            <w:r>
              <w:rPr>
                <w:rFonts w:ascii="Times New Roman" w:hAnsi="Times New Roman"/>
                <w:b/>
                <w:color w:val="000000" w:themeColor="text1"/>
                <w:kern w:val="0"/>
                <w:szCs w:val="21"/>
                <w14:textFill>
                  <w14:solidFill>
                    <w14:schemeClr w14:val="tx1"/>
                  </w14:solidFill>
                </w14:textFill>
              </w:rPr>
              <w:t>2025年</w:t>
            </w:r>
          </w:p>
        </w:tc>
        <w:tc>
          <w:tcPr>
            <w:tcW w:w="1432" w:type="dxa"/>
            <w:shd w:val="clear" w:color="auto" w:fill="auto"/>
            <w:vAlign w:val="center"/>
          </w:tcPr>
          <w:p>
            <w:pPr>
              <w:jc w:val="center"/>
              <w:rPr>
                <w:rFonts w:ascii="Times New Roman" w:hAnsi="Times New Roman"/>
                <w:b/>
                <w:color w:val="000000" w:themeColor="text1"/>
                <w:kern w:val="0"/>
                <w:szCs w:val="21"/>
                <w14:textFill>
                  <w14:solidFill>
                    <w14:schemeClr w14:val="tx1"/>
                  </w14:solidFill>
                </w14:textFill>
              </w:rPr>
            </w:pPr>
            <w:r>
              <w:rPr>
                <w:rFonts w:ascii="Times New Roman" w:hAnsi="Times New Roman"/>
                <w:b/>
                <w:color w:val="000000" w:themeColor="text1"/>
                <w:kern w:val="0"/>
                <w:szCs w:val="21"/>
                <w14:textFill>
                  <w14:solidFill>
                    <w14:schemeClr w14:val="tx1"/>
                  </w14:solidFill>
                </w14:textFill>
              </w:rPr>
              <w:t>年均</w:t>
            </w:r>
            <w:r>
              <w:rPr>
                <w:rFonts w:hint="eastAsia" w:ascii="Times New Roman" w:hAnsi="Times New Roman"/>
                <w:b/>
                <w:color w:val="000000" w:themeColor="text1"/>
                <w:kern w:val="0"/>
                <w:szCs w:val="21"/>
                <w14:textFill>
                  <w14:solidFill>
                    <w14:schemeClr w14:val="tx1"/>
                  </w14:solidFill>
                </w14:textFill>
              </w:rPr>
              <w:t>增长</w:t>
            </w:r>
          </w:p>
        </w:tc>
        <w:tc>
          <w:tcPr>
            <w:tcW w:w="901" w:type="dxa"/>
            <w:shd w:val="clear" w:color="auto" w:fill="auto"/>
            <w:vAlign w:val="center"/>
          </w:tcPr>
          <w:p>
            <w:pPr>
              <w:jc w:val="center"/>
              <w:rPr>
                <w:rFonts w:ascii="Times New Roman" w:hAnsi="Times New Roman"/>
                <w:b/>
                <w:color w:val="000000" w:themeColor="text1"/>
                <w:kern w:val="0"/>
                <w:szCs w:val="21"/>
                <w14:textFill>
                  <w14:solidFill>
                    <w14:schemeClr w14:val="tx1"/>
                  </w14:solidFill>
                </w14:textFill>
              </w:rPr>
            </w:pPr>
            <w:r>
              <w:rPr>
                <w:rFonts w:ascii="Times New Roman" w:hAnsi="Times New Roman"/>
                <w:b/>
                <w:color w:val="000000" w:themeColor="text1"/>
                <w:kern w:val="0"/>
                <w:szCs w:val="21"/>
                <w14:textFill>
                  <w14:solidFill>
                    <w14:schemeClr w14:val="tx1"/>
                  </w14:solidFill>
                </w14:textFill>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3" w:type="dxa"/>
            <w:gridSpan w:val="5"/>
            <w:shd w:val="clear" w:color="auto" w:fill="auto"/>
            <w:vAlign w:val="center"/>
          </w:tcPr>
          <w:p>
            <w:pPr>
              <w:jc w:val="left"/>
              <w:rPr>
                <w:rFonts w:ascii="Times New Roman" w:hAnsi="Times New Roman"/>
                <w:b/>
                <w:color w:val="000000" w:themeColor="text1"/>
                <w:kern w:val="0"/>
                <w:szCs w:val="21"/>
                <w14:textFill>
                  <w14:solidFill>
                    <w14:schemeClr w14:val="tx1"/>
                  </w14:solidFill>
                </w14:textFill>
              </w:rPr>
            </w:pPr>
            <w:r>
              <w:rPr>
                <w:rFonts w:ascii="Times New Roman" w:hAnsi="Times New Roman"/>
                <w:b/>
                <w:color w:val="000000" w:themeColor="text1"/>
                <w:kern w:val="0"/>
                <w:szCs w:val="21"/>
                <w14:textFill>
                  <w14:solidFill>
                    <w14:schemeClr w14:val="tx1"/>
                  </w14:solidFill>
                </w14:textFill>
              </w:rPr>
              <w:t>经济发展（4个）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5" w:type="dxa"/>
            <w:shd w:val="clear" w:color="auto" w:fill="auto"/>
            <w:vAlign w:val="center"/>
          </w:tcPr>
          <w:p>
            <w:pP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1.</w:t>
            </w:r>
            <w:r>
              <w:rPr>
                <w:rFonts w:ascii="Times New Roman" w:hAnsi="Times New Roman"/>
                <w:color w:val="000000" w:themeColor="text1"/>
                <w:kern w:val="0"/>
                <w:szCs w:val="21"/>
                <w14:textFill>
                  <w14:solidFill>
                    <w14:schemeClr w14:val="tx1"/>
                  </w14:solidFill>
                </w14:textFill>
              </w:rPr>
              <w:t>地区生产总值</w:t>
            </w:r>
            <w:r>
              <w:rPr>
                <w:rFonts w:hint="eastAsia" w:ascii="Times New Roman" w:hAnsi="Times New Roman"/>
                <w:color w:val="000000" w:themeColor="text1"/>
                <w:kern w:val="0"/>
                <w:szCs w:val="21"/>
                <w14:textFill>
                  <w14:solidFill>
                    <w14:schemeClr w14:val="tx1"/>
                  </w14:solidFill>
                </w14:textFill>
              </w:rPr>
              <w:t>GDP</w:t>
            </w:r>
            <w:r>
              <w:rPr>
                <w:rFonts w:ascii="Times New Roman" w:hAnsi="Times New Roman"/>
                <w:color w:val="000000" w:themeColor="text1"/>
                <w:kern w:val="0"/>
                <w:szCs w:val="21"/>
                <w14:textFill>
                  <w14:solidFill>
                    <w14:schemeClr w14:val="tx1"/>
                  </w14:solidFill>
                </w14:textFill>
              </w:rPr>
              <w:t>（</w:t>
            </w:r>
            <w:r>
              <w:rPr>
                <w:rFonts w:hint="eastAsia" w:ascii="Times New Roman" w:hAnsi="Times New Roman"/>
                <w:color w:val="000000" w:themeColor="text1"/>
                <w:kern w:val="0"/>
                <w:szCs w:val="21"/>
                <w14:textFill>
                  <w14:solidFill>
                    <w14:schemeClr w14:val="tx1"/>
                  </w14:solidFill>
                </w14:textFill>
              </w:rPr>
              <w:t>亿元</w:t>
            </w:r>
            <w:r>
              <w:rPr>
                <w:rFonts w:ascii="Times New Roman" w:hAnsi="Times New Roman"/>
                <w:color w:val="000000" w:themeColor="text1"/>
                <w:kern w:val="0"/>
                <w:szCs w:val="21"/>
                <w14:textFill>
                  <w14:solidFill>
                    <w14:schemeClr w14:val="tx1"/>
                  </w14:solidFill>
                </w14:textFill>
              </w:rPr>
              <w:t>）</w:t>
            </w:r>
          </w:p>
        </w:tc>
        <w:tc>
          <w:tcPr>
            <w:tcW w:w="1065"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275.5</w:t>
            </w:r>
          </w:p>
        </w:tc>
        <w:tc>
          <w:tcPr>
            <w:tcW w:w="1370"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w:t>
            </w:r>
          </w:p>
        </w:tc>
        <w:tc>
          <w:tcPr>
            <w:tcW w:w="1432"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高于全市平均水平</w:t>
            </w:r>
          </w:p>
        </w:tc>
        <w:tc>
          <w:tcPr>
            <w:tcW w:w="901"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5" w:type="dxa"/>
            <w:shd w:val="clear" w:color="auto" w:fill="auto"/>
            <w:vAlign w:val="center"/>
          </w:tcPr>
          <w:p>
            <w:pP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2.</w:t>
            </w:r>
            <w:r>
              <w:rPr>
                <w:rFonts w:ascii="Times New Roman" w:hAnsi="Times New Roman"/>
                <w:color w:val="000000" w:themeColor="text1"/>
                <w:kern w:val="0"/>
                <w:szCs w:val="21"/>
                <w14:textFill>
                  <w14:solidFill>
                    <w14:schemeClr w14:val="tx1"/>
                  </w14:solidFill>
                </w14:textFill>
              </w:rPr>
              <w:t>全员劳动生产率（元/人）</w:t>
            </w:r>
          </w:p>
        </w:tc>
        <w:tc>
          <w:tcPr>
            <w:tcW w:w="1065"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w:t>
            </w:r>
          </w:p>
        </w:tc>
        <w:tc>
          <w:tcPr>
            <w:tcW w:w="1370"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w:t>
            </w:r>
          </w:p>
        </w:tc>
        <w:tc>
          <w:tcPr>
            <w:tcW w:w="1432"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与GDP增长基本同步</w:t>
            </w:r>
          </w:p>
        </w:tc>
        <w:tc>
          <w:tcPr>
            <w:tcW w:w="901"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5" w:type="dxa"/>
            <w:shd w:val="clear" w:color="auto" w:fill="auto"/>
            <w:vAlign w:val="center"/>
          </w:tcPr>
          <w:p>
            <w:pPr>
              <w:rPr>
                <w:rFonts w:ascii="Times New Roman" w:hAnsi="Times New Roman"/>
                <w:color w:val="000000" w:themeColor="text1"/>
                <w:kern w:val="0"/>
                <w:szCs w:val="21"/>
                <w14:textFill>
                  <w14:solidFill>
                    <w14:schemeClr w14:val="tx1"/>
                  </w14:solidFill>
                </w14:textFill>
              </w:rPr>
            </w:pPr>
            <w:bookmarkStart w:id="18" w:name="_Hlk69483743"/>
            <w:r>
              <w:rPr>
                <w:rFonts w:hint="eastAsia" w:ascii="Times New Roman" w:hAnsi="Times New Roman"/>
                <w:color w:val="000000" w:themeColor="text1"/>
                <w:kern w:val="0"/>
                <w:szCs w:val="21"/>
                <w14:textFill>
                  <w14:solidFill>
                    <w14:schemeClr w14:val="tx1"/>
                  </w14:solidFill>
                </w14:textFill>
              </w:rPr>
              <w:t>3.</w:t>
            </w:r>
            <w:r>
              <w:rPr>
                <w:rFonts w:ascii="Times New Roman" w:hAnsi="Times New Roman"/>
                <w:color w:val="000000" w:themeColor="text1"/>
                <w:kern w:val="0"/>
                <w:szCs w:val="21"/>
                <w14:textFill>
                  <w14:solidFill>
                    <w14:schemeClr w14:val="tx1"/>
                  </w14:solidFill>
                </w14:textFill>
              </w:rPr>
              <w:t>常住人口城镇化率（%）</w:t>
            </w:r>
          </w:p>
        </w:tc>
        <w:tc>
          <w:tcPr>
            <w:tcW w:w="1065"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47（预计）</w:t>
            </w:r>
          </w:p>
        </w:tc>
        <w:tc>
          <w:tcPr>
            <w:tcW w:w="1370"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&gt;</w:t>
            </w:r>
            <w:r>
              <w:rPr>
                <w:rFonts w:ascii="Times New Roman" w:hAnsi="Times New Roman"/>
                <w:color w:val="000000" w:themeColor="text1"/>
                <w:kern w:val="0"/>
                <w:szCs w:val="21"/>
                <w14:textFill>
                  <w14:solidFill>
                    <w14:schemeClr w14:val="tx1"/>
                  </w14:solidFill>
                </w14:textFill>
              </w:rPr>
              <w:t>56</w:t>
            </w:r>
          </w:p>
        </w:tc>
        <w:tc>
          <w:tcPr>
            <w:tcW w:w="1432"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w:t>
            </w:r>
          </w:p>
        </w:tc>
        <w:tc>
          <w:tcPr>
            <w:tcW w:w="901"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预期性</w:t>
            </w:r>
          </w:p>
        </w:tc>
      </w:tr>
      <w:bookmarkEnd w:id="1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5" w:type="dxa"/>
            <w:shd w:val="clear" w:color="auto" w:fill="auto"/>
            <w:vAlign w:val="center"/>
          </w:tcPr>
          <w:p>
            <w:pP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4.社会消费品零售总额（亿元）</w:t>
            </w:r>
          </w:p>
        </w:tc>
        <w:tc>
          <w:tcPr>
            <w:tcW w:w="1065"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91.7</w:t>
            </w:r>
          </w:p>
        </w:tc>
        <w:tc>
          <w:tcPr>
            <w:tcW w:w="1370"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w:t>
            </w:r>
          </w:p>
        </w:tc>
        <w:tc>
          <w:tcPr>
            <w:tcW w:w="1432"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9%左右</w:t>
            </w:r>
          </w:p>
        </w:tc>
        <w:tc>
          <w:tcPr>
            <w:tcW w:w="901"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3" w:type="dxa"/>
            <w:gridSpan w:val="5"/>
            <w:shd w:val="clear" w:color="auto" w:fill="auto"/>
            <w:vAlign w:val="center"/>
          </w:tcPr>
          <w:p>
            <w:pPr>
              <w:jc w:val="left"/>
              <w:rPr>
                <w:rFonts w:ascii="Times New Roman" w:hAnsi="Times New Roman"/>
                <w:color w:val="000000" w:themeColor="text1"/>
                <w:kern w:val="0"/>
                <w:szCs w:val="21"/>
                <w14:textFill>
                  <w14:solidFill>
                    <w14:schemeClr w14:val="tx1"/>
                  </w14:solidFill>
                </w14:textFill>
              </w:rPr>
            </w:pPr>
            <w:r>
              <w:rPr>
                <w:rFonts w:ascii="Times New Roman" w:hAnsi="Times New Roman"/>
                <w:b/>
                <w:bCs/>
                <w:color w:val="000000" w:themeColor="text1"/>
                <w:kern w:val="0"/>
                <w:szCs w:val="21"/>
                <w14:textFill>
                  <w14:solidFill>
                    <w14:schemeClr w14:val="tx1"/>
                  </w14:solidFill>
                </w14:textFill>
              </w:rPr>
              <w:t>创新驱动（3个）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5" w:type="dxa"/>
            <w:shd w:val="clear" w:color="auto" w:fill="auto"/>
            <w:vAlign w:val="center"/>
          </w:tcPr>
          <w:p>
            <w:pPr>
              <w:rPr>
                <w:rFonts w:ascii="Times New Roman" w:hAnsi="Times New Roman"/>
                <w:color w:val="000000" w:themeColor="text1"/>
                <w:kern w:val="0"/>
                <w:szCs w:val="21"/>
                <w14:textFill>
                  <w14:solidFill>
                    <w14:schemeClr w14:val="tx1"/>
                  </w14:solidFill>
                </w14:textFill>
              </w:rPr>
            </w:pPr>
            <w:bookmarkStart w:id="19" w:name="_Hlk69483818"/>
            <w:r>
              <w:rPr>
                <w:rFonts w:hint="eastAsia" w:ascii="Times New Roman" w:hAnsi="Times New Roman"/>
                <w:color w:val="000000" w:themeColor="text1"/>
                <w:kern w:val="0"/>
                <w:szCs w:val="21"/>
                <w14:textFill>
                  <w14:solidFill>
                    <w14:schemeClr w14:val="tx1"/>
                  </w14:solidFill>
                </w14:textFill>
              </w:rPr>
              <w:t>5.</w:t>
            </w:r>
            <w:r>
              <w:rPr>
                <w:rFonts w:ascii="Times New Roman" w:hAnsi="Times New Roman"/>
                <w:color w:val="000000" w:themeColor="text1"/>
                <w:kern w:val="0"/>
                <w:szCs w:val="21"/>
                <w14:textFill>
                  <w14:solidFill>
                    <w14:schemeClr w14:val="tx1"/>
                  </w14:solidFill>
                </w14:textFill>
              </w:rPr>
              <w:t>研发经费投入强度（%）</w:t>
            </w:r>
            <w:bookmarkEnd w:id="19"/>
          </w:p>
        </w:tc>
        <w:tc>
          <w:tcPr>
            <w:tcW w:w="1065"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w:t>
            </w:r>
          </w:p>
        </w:tc>
        <w:tc>
          <w:tcPr>
            <w:tcW w:w="1370"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2.0</w:t>
            </w:r>
          </w:p>
        </w:tc>
        <w:tc>
          <w:tcPr>
            <w:tcW w:w="1432"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w:t>
            </w:r>
          </w:p>
        </w:tc>
        <w:tc>
          <w:tcPr>
            <w:tcW w:w="901"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5" w:type="dxa"/>
            <w:shd w:val="clear" w:color="auto" w:fill="auto"/>
            <w:vAlign w:val="center"/>
          </w:tcPr>
          <w:p>
            <w:pPr>
              <w:rPr>
                <w:rFonts w:ascii="Times New Roman" w:hAnsi="Times New Roman"/>
                <w:color w:val="000000" w:themeColor="text1"/>
                <w:kern w:val="0"/>
                <w:szCs w:val="21"/>
                <w14:textFill>
                  <w14:solidFill>
                    <w14:schemeClr w14:val="tx1"/>
                  </w14:solidFill>
                </w14:textFill>
              </w:rPr>
            </w:pPr>
            <w:bookmarkStart w:id="20" w:name="_Hlk69483857"/>
            <w:r>
              <w:rPr>
                <w:rFonts w:hint="eastAsia" w:ascii="Times New Roman" w:hAnsi="Times New Roman"/>
                <w:color w:val="000000" w:themeColor="text1"/>
                <w:kern w:val="0"/>
                <w:szCs w:val="21"/>
                <w14:textFill>
                  <w14:solidFill>
                    <w14:schemeClr w14:val="tx1"/>
                  </w14:solidFill>
                </w14:textFill>
              </w:rPr>
              <w:t>6.</w:t>
            </w:r>
            <w:r>
              <w:rPr>
                <w:rFonts w:ascii="Times New Roman" w:hAnsi="Times New Roman"/>
                <w:color w:val="000000" w:themeColor="text1"/>
                <w:kern w:val="0"/>
                <w:szCs w:val="21"/>
                <w14:textFill>
                  <w14:solidFill>
                    <w14:schemeClr w14:val="tx1"/>
                  </w14:solidFill>
                </w14:textFill>
              </w:rPr>
              <w:t>每万人口高价值发明专利拥有量（件）</w:t>
            </w:r>
          </w:p>
        </w:tc>
        <w:tc>
          <w:tcPr>
            <w:tcW w:w="1065"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0.59</w:t>
            </w:r>
          </w:p>
        </w:tc>
        <w:tc>
          <w:tcPr>
            <w:tcW w:w="1370"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0.</w:t>
            </w:r>
            <w:r>
              <w:rPr>
                <w:rFonts w:hint="eastAsia" w:ascii="Times New Roman" w:hAnsi="Times New Roman"/>
                <w:color w:val="000000" w:themeColor="text1"/>
                <w:kern w:val="0"/>
                <w:szCs w:val="21"/>
                <w14:textFill>
                  <w14:solidFill>
                    <w14:schemeClr w14:val="tx1"/>
                  </w14:solidFill>
                </w14:textFill>
              </w:rPr>
              <w:t>8</w:t>
            </w:r>
          </w:p>
        </w:tc>
        <w:tc>
          <w:tcPr>
            <w:tcW w:w="1432"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w:t>
            </w:r>
          </w:p>
        </w:tc>
        <w:tc>
          <w:tcPr>
            <w:tcW w:w="901"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预期性</w:t>
            </w:r>
          </w:p>
        </w:tc>
      </w:tr>
      <w:bookmarkEnd w:id="2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5" w:type="dxa"/>
            <w:shd w:val="clear" w:color="auto" w:fill="auto"/>
            <w:vAlign w:val="center"/>
          </w:tcPr>
          <w:p>
            <w:pP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7.</w:t>
            </w:r>
            <w:r>
              <w:rPr>
                <w:rFonts w:ascii="Times New Roman" w:hAnsi="Times New Roman"/>
                <w:color w:val="000000" w:themeColor="text1"/>
                <w:kern w:val="0"/>
                <w:szCs w:val="21"/>
                <w14:textFill>
                  <w14:solidFill>
                    <w14:schemeClr w14:val="tx1"/>
                  </w14:solidFill>
                </w14:textFill>
              </w:rPr>
              <w:t>数字经济核心产业增加值占GDP比重（%）</w:t>
            </w:r>
          </w:p>
        </w:tc>
        <w:tc>
          <w:tcPr>
            <w:tcW w:w="1065"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w:t>
            </w:r>
          </w:p>
        </w:tc>
        <w:tc>
          <w:tcPr>
            <w:tcW w:w="1370"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高于</w:t>
            </w:r>
            <w:r>
              <w:rPr>
                <w:rFonts w:ascii="Times New Roman" w:hAnsi="Times New Roman"/>
                <w:color w:val="000000" w:themeColor="text1"/>
                <w:kern w:val="0"/>
                <w:szCs w:val="21"/>
                <w14:textFill>
                  <w14:solidFill>
                    <w14:schemeClr w14:val="tx1"/>
                  </w14:solidFill>
                </w14:textFill>
              </w:rPr>
              <w:t>全市平均水平</w:t>
            </w:r>
          </w:p>
        </w:tc>
        <w:tc>
          <w:tcPr>
            <w:tcW w:w="1432"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w:t>
            </w:r>
          </w:p>
        </w:tc>
        <w:tc>
          <w:tcPr>
            <w:tcW w:w="901"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3" w:type="dxa"/>
            <w:gridSpan w:val="5"/>
            <w:shd w:val="clear" w:color="auto" w:fill="auto"/>
            <w:vAlign w:val="center"/>
          </w:tcPr>
          <w:p>
            <w:pPr>
              <w:jc w:val="left"/>
              <w:rPr>
                <w:rFonts w:ascii="Times New Roman" w:hAnsi="Times New Roman"/>
                <w:color w:val="000000" w:themeColor="text1"/>
                <w:kern w:val="0"/>
                <w:szCs w:val="21"/>
                <w14:textFill>
                  <w14:solidFill>
                    <w14:schemeClr w14:val="tx1"/>
                  </w14:solidFill>
                </w14:textFill>
              </w:rPr>
            </w:pPr>
            <w:r>
              <w:rPr>
                <w:rFonts w:ascii="Times New Roman" w:hAnsi="Times New Roman"/>
                <w:b/>
                <w:bCs/>
                <w:color w:val="000000" w:themeColor="text1"/>
                <w:kern w:val="0"/>
                <w:szCs w:val="21"/>
                <w14:textFill>
                  <w14:solidFill>
                    <w14:schemeClr w14:val="tx1"/>
                  </w14:solidFill>
                </w14:textFill>
              </w:rPr>
              <w:t>民生福祉（7个）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5" w:type="dxa"/>
            <w:shd w:val="clear" w:color="auto" w:fill="auto"/>
            <w:vAlign w:val="center"/>
          </w:tcPr>
          <w:p>
            <w:pP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8.</w:t>
            </w:r>
            <w:r>
              <w:rPr>
                <w:rFonts w:ascii="Times New Roman" w:hAnsi="Times New Roman"/>
                <w:color w:val="000000" w:themeColor="text1"/>
                <w:kern w:val="0"/>
                <w:szCs w:val="21"/>
                <w14:textFill>
                  <w14:solidFill>
                    <w14:schemeClr w14:val="tx1"/>
                  </w14:solidFill>
                </w14:textFill>
              </w:rPr>
              <w:t>居民人均可支配收入增长（%）</w:t>
            </w:r>
          </w:p>
        </w:tc>
        <w:tc>
          <w:tcPr>
            <w:tcW w:w="1065"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4.8</w:t>
            </w:r>
          </w:p>
        </w:tc>
        <w:tc>
          <w:tcPr>
            <w:tcW w:w="1370"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w:t>
            </w:r>
          </w:p>
        </w:tc>
        <w:tc>
          <w:tcPr>
            <w:tcW w:w="1432"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与GDP增长基本同步</w:t>
            </w:r>
          </w:p>
        </w:tc>
        <w:tc>
          <w:tcPr>
            <w:tcW w:w="901"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5" w:type="dxa"/>
            <w:shd w:val="clear" w:color="auto" w:fill="auto"/>
            <w:vAlign w:val="center"/>
          </w:tcPr>
          <w:p>
            <w:pPr>
              <w:rPr>
                <w:rFonts w:ascii="Times New Roman" w:hAnsi="Times New Roman"/>
                <w:color w:val="000000" w:themeColor="text1"/>
                <w:kern w:val="0"/>
                <w:szCs w:val="21"/>
                <w14:textFill>
                  <w14:solidFill>
                    <w14:schemeClr w14:val="tx1"/>
                  </w14:solidFill>
                </w14:textFill>
              </w:rPr>
            </w:pPr>
            <w:bookmarkStart w:id="21" w:name="_Hlk69483693"/>
            <w:r>
              <w:rPr>
                <w:rFonts w:hint="eastAsia" w:ascii="Times New Roman" w:hAnsi="Times New Roman"/>
                <w:color w:val="000000" w:themeColor="text1"/>
                <w:kern w:val="0"/>
                <w:szCs w:val="21"/>
                <w14:textFill>
                  <w14:solidFill>
                    <w14:schemeClr w14:val="tx1"/>
                  </w14:solidFill>
                </w14:textFill>
              </w:rPr>
              <w:t>9.</w:t>
            </w:r>
            <w:r>
              <w:rPr>
                <w:rFonts w:ascii="Times New Roman" w:hAnsi="Times New Roman"/>
                <w:color w:val="000000" w:themeColor="text1"/>
                <w:kern w:val="0"/>
                <w:szCs w:val="21"/>
                <w14:textFill>
                  <w14:solidFill>
                    <w14:schemeClr w14:val="tx1"/>
                  </w14:solidFill>
                </w14:textFill>
              </w:rPr>
              <w:t>城镇调查失业率（%）</w:t>
            </w:r>
          </w:p>
        </w:tc>
        <w:tc>
          <w:tcPr>
            <w:tcW w:w="1065"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w:t>
            </w:r>
          </w:p>
        </w:tc>
        <w:tc>
          <w:tcPr>
            <w:tcW w:w="1370"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w:t>
            </w:r>
            <w:r>
              <w:rPr>
                <w:rFonts w:ascii="Times New Roman" w:hAnsi="Times New Roman"/>
                <w:color w:val="000000" w:themeColor="text1"/>
                <w:kern w:val="0"/>
                <w:szCs w:val="21"/>
                <w14:textFill>
                  <w14:solidFill>
                    <w14:schemeClr w14:val="tx1"/>
                  </w14:solidFill>
                </w14:textFill>
              </w:rPr>
              <w:t>5</w:t>
            </w:r>
          </w:p>
        </w:tc>
        <w:tc>
          <w:tcPr>
            <w:tcW w:w="1432"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w:t>
            </w:r>
          </w:p>
        </w:tc>
        <w:tc>
          <w:tcPr>
            <w:tcW w:w="901"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预期性</w:t>
            </w:r>
          </w:p>
        </w:tc>
      </w:tr>
      <w:bookmarkEnd w:id="2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5" w:type="dxa"/>
            <w:shd w:val="clear" w:color="auto" w:fill="auto"/>
            <w:vAlign w:val="center"/>
          </w:tcPr>
          <w:p>
            <w:pP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10.</w:t>
            </w:r>
            <w:r>
              <w:rPr>
                <w:rFonts w:ascii="Times New Roman" w:hAnsi="Times New Roman"/>
                <w:color w:val="000000" w:themeColor="text1"/>
                <w:kern w:val="0"/>
                <w:szCs w:val="21"/>
                <w14:textFill>
                  <w14:solidFill>
                    <w14:schemeClr w14:val="tx1"/>
                  </w14:solidFill>
                </w14:textFill>
              </w:rPr>
              <w:t>劳动年龄人口平均受教育年限（年）</w:t>
            </w:r>
          </w:p>
        </w:tc>
        <w:tc>
          <w:tcPr>
            <w:tcW w:w="1065"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w:t>
            </w:r>
          </w:p>
        </w:tc>
        <w:tc>
          <w:tcPr>
            <w:tcW w:w="1370"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11.3</w:t>
            </w:r>
          </w:p>
        </w:tc>
        <w:tc>
          <w:tcPr>
            <w:tcW w:w="1432"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w:t>
            </w:r>
          </w:p>
        </w:tc>
        <w:tc>
          <w:tcPr>
            <w:tcW w:w="901"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5" w:type="dxa"/>
            <w:shd w:val="clear" w:color="auto" w:fill="auto"/>
            <w:vAlign w:val="center"/>
          </w:tcPr>
          <w:p>
            <w:pP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11.</w:t>
            </w:r>
            <w:r>
              <w:rPr>
                <w:rFonts w:ascii="Times New Roman" w:hAnsi="Times New Roman"/>
                <w:color w:val="000000" w:themeColor="text1"/>
                <w:kern w:val="0"/>
                <w:szCs w:val="21"/>
                <w14:textFill>
                  <w14:solidFill>
                    <w14:schemeClr w14:val="tx1"/>
                  </w14:solidFill>
                </w14:textFill>
              </w:rPr>
              <w:t>每千人口拥有执业</w:t>
            </w:r>
            <w:r>
              <w:rPr>
                <w:rFonts w:hint="eastAsia" w:ascii="Times New Roman" w:hAnsi="Times New Roman"/>
                <w:color w:val="000000" w:themeColor="text1"/>
                <w:kern w:val="0"/>
                <w:szCs w:val="21"/>
                <w14:textFill>
                  <w14:solidFill>
                    <w14:schemeClr w14:val="tx1"/>
                  </w14:solidFill>
                </w14:textFill>
              </w:rPr>
              <w:t>（助理）</w:t>
            </w:r>
            <w:r>
              <w:rPr>
                <w:rFonts w:ascii="Times New Roman" w:hAnsi="Times New Roman"/>
                <w:color w:val="000000" w:themeColor="text1"/>
                <w:kern w:val="0"/>
                <w:szCs w:val="21"/>
                <w14:textFill>
                  <w14:solidFill>
                    <w14:schemeClr w14:val="tx1"/>
                  </w14:solidFill>
                </w14:textFill>
              </w:rPr>
              <w:t>医师数（人）</w:t>
            </w:r>
          </w:p>
        </w:tc>
        <w:tc>
          <w:tcPr>
            <w:tcW w:w="1065"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w:t>
            </w:r>
          </w:p>
        </w:tc>
        <w:tc>
          <w:tcPr>
            <w:tcW w:w="1370"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≥2.5</w:t>
            </w:r>
          </w:p>
        </w:tc>
        <w:tc>
          <w:tcPr>
            <w:tcW w:w="1432"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w:t>
            </w:r>
          </w:p>
        </w:tc>
        <w:tc>
          <w:tcPr>
            <w:tcW w:w="901"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5" w:type="dxa"/>
            <w:shd w:val="clear" w:color="auto" w:fill="auto"/>
            <w:vAlign w:val="center"/>
          </w:tcPr>
          <w:p>
            <w:pP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12.</w:t>
            </w:r>
            <w:r>
              <w:rPr>
                <w:rFonts w:ascii="Times New Roman" w:hAnsi="Times New Roman"/>
                <w:color w:val="000000" w:themeColor="text1"/>
                <w:kern w:val="0"/>
                <w:szCs w:val="21"/>
                <w14:textFill>
                  <w14:solidFill>
                    <w14:schemeClr w14:val="tx1"/>
                  </w14:solidFill>
                </w14:textFill>
              </w:rPr>
              <w:t>基本养老保险参保率（%）</w:t>
            </w:r>
          </w:p>
        </w:tc>
        <w:tc>
          <w:tcPr>
            <w:tcW w:w="1065"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w:t>
            </w:r>
          </w:p>
        </w:tc>
        <w:tc>
          <w:tcPr>
            <w:tcW w:w="1370"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&gt;95.0</w:t>
            </w:r>
          </w:p>
        </w:tc>
        <w:tc>
          <w:tcPr>
            <w:tcW w:w="1432"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w:t>
            </w:r>
          </w:p>
        </w:tc>
        <w:tc>
          <w:tcPr>
            <w:tcW w:w="901"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5" w:type="dxa"/>
            <w:shd w:val="clear" w:color="auto" w:fill="auto"/>
            <w:vAlign w:val="center"/>
          </w:tcPr>
          <w:p>
            <w:pP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13.</w:t>
            </w:r>
            <w:r>
              <w:rPr>
                <w:rFonts w:ascii="Times New Roman" w:hAnsi="Times New Roman"/>
                <w:color w:val="000000" w:themeColor="text1"/>
                <w:kern w:val="0"/>
                <w:szCs w:val="21"/>
                <w14:textFill>
                  <w14:solidFill>
                    <w14:schemeClr w14:val="tx1"/>
                  </w14:solidFill>
                </w14:textFill>
              </w:rPr>
              <w:t>每千人口拥有3岁以下</w:t>
            </w:r>
            <w:r>
              <w:rPr>
                <w:rFonts w:hint="eastAsia" w:ascii="Times New Roman" w:hAnsi="Times New Roman"/>
                <w:color w:val="000000" w:themeColor="text1"/>
                <w:kern w:val="0"/>
                <w:szCs w:val="21"/>
                <w14:textFill>
                  <w14:solidFill>
                    <w14:schemeClr w14:val="tx1"/>
                  </w14:solidFill>
                </w14:textFill>
              </w:rPr>
              <w:t>婴幼儿</w:t>
            </w:r>
            <w:r>
              <w:rPr>
                <w:rFonts w:ascii="Times New Roman" w:hAnsi="Times New Roman"/>
                <w:color w:val="000000" w:themeColor="text1"/>
                <w:kern w:val="0"/>
                <w:szCs w:val="21"/>
                <w14:textFill>
                  <w14:solidFill>
                    <w14:schemeClr w14:val="tx1"/>
                  </w14:solidFill>
                </w14:textFill>
              </w:rPr>
              <w:t>托位数（个）</w:t>
            </w:r>
          </w:p>
        </w:tc>
        <w:tc>
          <w:tcPr>
            <w:tcW w:w="1065"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w:t>
            </w:r>
          </w:p>
        </w:tc>
        <w:tc>
          <w:tcPr>
            <w:tcW w:w="1370"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4.0</w:t>
            </w:r>
          </w:p>
        </w:tc>
        <w:tc>
          <w:tcPr>
            <w:tcW w:w="1432"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w:t>
            </w:r>
          </w:p>
        </w:tc>
        <w:tc>
          <w:tcPr>
            <w:tcW w:w="901"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5" w:type="dxa"/>
            <w:shd w:val="clear" w:color="auto" w:fill="auto"/>
            <w:vAlign w:val="center"/>
          </w:tcPr>
          <w:p>
            <w:pP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14.</w:t>
            </w:r>
            <w:r>
              <w:rPr>
                <w:rFonts w:ascii="Times New Roman" w:hAnsi="Times New Roman"/>
                <w:color w:val="000000" w:themeColor="text1"/>
                <w:kern w:val="0"/>
                <w:szCs w:val="21"/>
                <w14:textFill>
                  <w14:solidFill>
                    <w14:schemeClr w14:val="tx1"/>
                  </w14:solidFill>
                </w14:textFill>
              </w:rPr>
              <w:t>人均预期寿命（岁）</w:t>
            </w:r>
          </w:p>
        </w:tc>
        <w:tc>
          <w:tcPr>
            <w:tcW w:w="1065"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w:t>
            </w:r>
          </w:p>
        </w:tc>
        <w:tc>
          <w:tcPr>
            <w:tcW w:w="1370"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78.5</w:t>
            </w:r>
          </w:p>
        </w:tc>
        <w:tc>
          <w:tcPr>
            <w:tcW w:w="1432"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w:t>
            </w:r>
          </w:p>
        </w:tc>
        <w:tc>
          <w:tcPr>
            <w:tcW w:w="901"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3" w:type="dxa"/>
            <w:gridSpan w:val="5"/>
            <w:shd w:val="clear" w:color="auto" w:fill="auto"/>
            <w:vAlign w:val="center"/>
          </w:tcPr>
          <w:p>
            <w:pPr>
              <w:jc w:val="left"/>
              <w:rPr>
                <w:rFonts w:ascii="Times New Roman" w:hAnsi="Times New Roman"/>
                <w:color w:val="000000" w:themeColor="text1"/>
                <w:kern w:val="0"/>
                <w:szCs w:val="21"/>
                <w14:textFill>
                  <w14:solidFill>
                    <w14:schemeClr w14:val="tx1"/>
                  </w14:solidFill>
                </w14:textFill>
              </w:rPr>
            </w:pPr>
            <w:r>
              <w:rPr>
                <w:rFonts w:ascii="Times New Roman" w:hAnsi="Times New Roman"/>
                <w:b/>
                <w:bCs/>
                <w:color w:val="000000" w:themeColor="text1"/>
                <w:kern w:val="0"/>
                <w:szCs w:val="21"/>
                <w14:textFill>
                  <w14:solidFill>
                    <w14:schemeClr w14:val="tx1"/>
                  </w14:solidFill>
                </w14:textFill>
              </w:rPr>
              <w:t>绿色生态（5个）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5" w:type="dxa"/>
            <w:shd w:val="clear" w:color="auto" w:fill="auto"/>
            <w:vAlign w:val="center"/>
          </w:tcPr>
          <w:p>
            <w:pP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15.</w:t>
            </w:r>
            <w:r>
              <w:rPr>
                <w:rFonts w:ascii="Times New Roman" w:hAnsi="Times New Roman"/>
                <w:color w:val="000000" w:themeColor="text1"/>
                <w:kern w:val="0"/>
                <w:szCs w:val="21"/>
                <w14:textFill>
                  <w14:solidFill>
                    <w14:schemeClr w14:val="tx1"/>
                  </w14:solidFill>
                </w14:textFill>
              </w:rPr>
              <w:t>单位GDP能源消耗</w:t>
            </w:r>
            <w:r>
              <w:rPr>
                <w:rFonts w:hint="eastAsia" w:ascii="Times New Roman" w:hAnsi="Times New Roman"/>
                <w:color w:val="000000" w:themeColor="text1"/>
                <w:kern w:val="0"/>
                <w:szCs w:val="21"/>
                <w14:textFill>
                  <w14:solidFill>
                    <w14:schemeClr w14:val="tx1"/>
                  </w14:solidFill>
                </w14:textFill>
              </w:rPr>
              <w:t>降低</w:t>
            </w:r>
            <w:r>
              <w:rPr>
                <w:rFonts w:ascii="Times New Roman" w:hAnsi="Times New Roman"/>
                <w:color w:val="000000" w:themeColor="text1"/>
                <w:kern w:val="0"/>
                <w:szCs w:val="21"/>
                <w14:textFill>
                  <w14:solidFill>
                    <w14:schemeClr w14:val="tx1"/>
                  </w14:solidFill>
                </w14:textFill>
              </w:rPr>
              <w:t>（%）</w:t>
            </w:r>
          </w:p>
        </w:tc>
        <w:tc>
          <w:tcPr>
            <w:tcW w:w="1065"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w:t>
            </w:r>
          </w:p>
        </w:tc>
        <w:tc>
          <w:tcPr>
            <w:tcW w:w="1370" w:type="dxa"/>
            <w:vMerge w:val="restart"/>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完成市定目标</w:t>
            </w:r>
          </w:p>
        </w:tc>
        <w:tc>
          <w:tcPr>
            <w:tcW w:w="1432"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w:t>
            </w:r>
          </w:p>
        </w:tc>
        <w:tc>
          <w:tcPr>
            <w:tcW w:w="901"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5" w:type="dxa"/>
            <w:shd w:val="clear" w:color="auto" w:fill="auto"/>
            <w:vAlign w:val="center"/>
          </w:tcPr>
          <w:p>
            <w:pP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16.</w:t>
            </w:r>
            <w:r>
              <w:rPr>
                <w:rFonts w:ascii="Times New Roman" w:hAnsi="Times New Roman"/>
                <w:color w:val="000000" w:themeColor="text1"/>
                <w:kern w:val="0"/>
                <w:szCs w:val="21"/>
                <w14:textFill>
                  <w14:solidFill>
                    <w14:schemeClr w14:val="tx1"/>
                  </w14:solidFill>
                </w14:textFill>
              </w:rPr>
              <w:t>单位GDP二氧化碳排放降低（%）</w:t>
            </w:r>
          </w:p>
        </w:tc>
        <w:tc>
          <w:tcPr>
            <w:tcW w:w="1065"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w:t>
            </w:r>
          </w:p>
        </w:tc>
        <w:tc>
          <w:tcPr>
            <w:tcW w:w="1370" w:type="dxa"/>
            <w:vMerge w:val="continue"/>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p>
        </w:tc>
        <w:tc>
          <w:tcPr>
            <w:tcW w:w="1432"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w:t>
            </w:r>
          </w:p>
        </w:tc>
        <w:tc>
          <w:tcPr>
            <w:tcW w:w="901"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5" w:type="dxa"/>
            <w:shd w:val="clear" w:color="auto" w:fill="auto"/>
            <w:vAlign w:val="center"/>
          </w:tcPr>
          <w:p>
            <w:pP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17.</w:t>
            </w:r>
            <w:r>
              <w:rPr>
                <w:rFonts w:ascii="Times New Roman" w:hAnsi="Times New Roman"/>
                <w:color w:val="000000" w:themeColor="text1"/>
                <w:kern w:val="0"/>
                <w:szCs w:val="21"/>
                <w14:textFill>
                  <w14:solidFill>
                    <w14:schemeClr w14:val="tx1"/>
                  </w14:solidFill>
                </w14:textFill>
              </w:rPr>
              <w:t>城市空气质量优良天数比率（</w:t>
            </w:r>
            <w:r>
              <w:rPr>
                <w:rFonts w:hint="eastAsia" w:ascii="Times New Roman" w:hAnsi="Times New Roman"/>
                <w:color w:val="000000" w:themeColor="text1"/>
                <w:kern w:val="0"/>
                <w:szCs w:val="21"/>
                <w14:textFill>
                  <w14:solidFill>
                    <w14:schemeClr w14:val="tx1"/>
                  </w14:solidFill>
                </w14:textFill>
              </w:rPr>
              <w:t>%</w:t>
            </w:r>
            <w:r>
              <w:rPr>
                <w:rFonts w:ascii="Times New Roman" w:hAnsi="Times New Roman"/>
                <w:color w:val="000000" w:themeColor="text1"/>
                <w:kern w:val="0"/>
                <w:szCs w:val="21"/>
                <w14:textFill>
                  <w14:solidFill>
                    <w14:schemeClr w14:val="tx1"/>
                  </w14:solidFill>
                </w14:textFill>
              </w:rPr>
              <w:t>）</w:t>
            </w:r>
          </w:p>
        </w:tc>
        <w:tc>
          <w:tcPr>
            <w:tcW w:w="1065"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w:t>
            </w:r>
          </w:p>
        </w:tc>
        <w:tc>
          <w:tcPr>
            <w:tcW w:w="1370" w:type="dxa"/>
            <w:vMerge w:val="continue"/>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p>
        </w:tc>
        <w:tc>
          <w:tcPr>
            <w:tcW w:w="1432"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w:t>
            </w:r>
          </w:p>
        </w:tc>
        <w:tc>
          <w:tcPr>
            <w:tcW w:w="901"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5" w:type="dxa"/>
            <w:shd w:val="clear" w:color="auto" w:fill="auto"/>
            <w:vAlign w:val="center"/>
          </w:tcPr>
          <w:p>
            <w:pP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18.</w:t>
            </w:r>
            <w:r>
              <w:rPr>
                <w:rFonts w:ascii="Times New Roman" w:hAnsi="Times New Roman"/>
                <w:color w:val="000000" w:themeColor="text1"/>
                <w:kern w:val="0"/>
                <w:szCs w:val="21"/>
                <w14:textFill>
                  <w14:solidFill>
                    <w14:schemeClr w14:val="tx1"/>
                  </w14:solidFill>
                </w14:textFill>
              </w:rPr>
              <w:t>地表水达到或好于Ⅲ类水体比例（%）</w:t>
            </w:r>
          </w:p>
        </w:tc>
        <w:tc>
          <w:tcPr>
            <w:tcW w:w="1065"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w:t>
            </w:r>
          </w:p>
        </w:tc>
        <w:tc>
          <w:tcPr>
            <w:tcW w:w="1370" w:type="dxa"/>
            <w:vMerge w:val="continue"/>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p>
        </w:tc>
        <w:tc>
          <w:tcPr>
            <w:tcW w:w="1432"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w:t>
            </w:r>
          </w:p>
        </w:tc>
        <w:tc>
          <w:tcPr>
            <w:tcW w:w="901"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5" w:type="dxa"/>
            <w:shd w:val="clear" w:color="auto" w:fill="auto"/>
            <w:vAlign w:val="center"/>
          </w:tcPr>
          <w:p>
            <w:pP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19.</w:t>
            </w:r>
            <w:r>
              <w:rPr>
                <w:rFonts w:ascii="Times New Roman" w:hAnsi="Times New Roman"/>
                <w:color w:val="000000" w:themeColor="text1"/>
                <w:kern w:val="0"/>
                <w:szCs w:val="21"/>
                <w14:textFill>
                  <w14:solidFill>
                    <w14:schemeClr w14:val="tx1"/>
                  </w14:solidFill>
                </w14:textFill>
              </w:rPr>
              <w:t>林木覆盖率（%）</w:t>
            </w:r>
          </w:p>
        </w:tc>
        <w:tc>
          <w:tcPr>
            <w:tcW w:w="1065"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35.48</w:t>
            </w:r>
          </w:p>
        </w:tc>
        <w:tc>
          <w:tcPr>
            <w:tcW w:w="1370"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36.0</w:t>
            </w:r>
          </w:p>
        </w:tc>
        <w:tc>
          <w:tcPr>
            <w:tcW w:w="1432"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w:t>
            </w:r>
          </w:p>
        </w:tc>
        <w:tc>
          <w:tcPr>
            <w:tcW w:w="901"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3" w:type="dxa"/>
            <w:gridSpan w:val="5"/>
            <w:shd w:val="clear" w:color="auto" w:fill="auto"/>
            <w:vAlign w:val="center"/>
          </w:tcPr>
          <w:p>
            <w:pPr>
              <w:jc w:val="left"/>
              <w:rPr>
                <w:rFonts w:ascii="Times New Roman" w:hAnsi="Times New Roman"/>
                <w:color w:val="000000" w:themeColor="text1"/>
                <w:kern w:val="0"/>
                <w:szCs w:val="21"/>
                <w14:textFill>
                  <w14:solidFill>
                    <w14:schemeClr w14:val="tx1"/>
                  </w14:solidFill>
                </w14:textFill>
              </w:rPr>
            </w:pPr>
            <w:r>
              <w:rPr>
                <w:rFonts w:ascii="Times New Roman" w:hAnsi="Times New Roman"/>
                <w:b/>
                <w:bCs/>
                <w:color w:val="000000" w:themeColor="text1"/>
                <w:kern w:val="0"/>
                <w:szCs w:val="21"/>
                <w14:textFill>
                  <w14:solidFill>
                    <w14:schemeClr w14:val="tx1"/>
                  </w14:solidFill>
                </w14:textFill>
              </w:rPr>
              <w:t>安全保障（1个）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5" w:type="dxa"/>
            <w:shd w:val="clear" w:color="auto" w:fill="auto"/>
            <w:vAlign w:val="center"/>
          </w:tcPr>
          <w:p>
            <w:pP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20.</w:t>
            </w:r>
            <w:r>
              <w:rPr>
                <w:rFonts w:ascii="Times New Roman" w:hAnsi="Times New Roman"/>
                <w:color w:val="000000" w:themeColor="text1"/>
                <w:kern w:val="0"/>
                <w:szCs w:val="21"/>
                <w14:textFill>
                  <w14:solidFill>
                    <w14:schemeClr w14:val="tx1"/>
                  </w14:solidFill>
                </w14:textFill>
              </w:rPr>
              <w:t>粮食综合生产能力（亿斤）</w:t>
            </w:r>
          </w:p>
        </w:tc>
        <w:tc>
          <w:tcPr>
            <w:tcW w:w="1065"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14.9</w:t>
            </w:r>
          </w:p>
        </w:tc>
        <w:tc>
          <w:tcPr>
            <w:tcW w:w="1370"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稳定在</w:t>
            </w:r>
            <w:r>
              <w:rPr>
                <w:rFonts w:ascii="Times New Roman" w:hAnsi="Times New Roman"/>
                <w:color w:val="000000" w:themeColor="text1"/>
                <w:kern w:val="0"/>
                <w:szCs w:val="21"/>
                <w14:textFill>
                  <w14:solidFill>
                    <w14:schemeClr w14:val="tx1"/>
                  </w14:solidFill>
                </w14:textFill>
              </w:rPr>
              <w:t>14.</w:t>
            </w:r>
            <w:r>
              <w:rPr>
                <w:rFonts w:hint="eastAsia" w:ascii="Times New Roman" w:hAnsi="Times New Roman"/>
                <w:color w:val="000000" w:themeColor="text1"/>
                <w:kern w:val="0"/>
                <w:szCs w:val="21"/>
                <w14:textFill>
                  <w14:solidFill>
                    <w14:schemeClr w14:val="tx1"/>
                  </w14:solidFill>
                </w14:textFill>
              </w:rPr>
              <w:t>8</w:t>
            </w:r>
            <w:r>
              <w:rPr>
                <w:rFonts w:ascii="Times New Roman" w:hAnsi="Times New Roman"/>
                <w:color w:val="000000" w:themeColor="text1"/>
                <w:kern w:val="0"/>
                <w:szCs w:val="21"/>
                <w14:textFill>
                  <w14:solidFill>
                    <w14:schemeClr w14:val="tx1"/>
                  </w14:solidFill>
                </w14:textFill>
              </w:rPr>
              <w:t>9</w:t>
            </w:r>
            <w:r>
              <w:rPr>
                <w:rFonts w:hint="eastAsia" w:ascii="Times New Roman" w:hAnsi="Times New Roman"/>
                <w:color w:val="000000" w:themeColor="text1"/>
                <w:kern w:val="0"/>
                <w:szCs w:val="21"/>
                <w14:textFill>
                  <w14:solidFill>
                    <w14:schemeClr w14:val="tx1"/>
                  </w14:solidFill>
                </w14:textFill>
              </w:rPr>
              <w:t>以上</w:t>
            </w:r>
          </w:p>
        </w:tc>
        <w:tc>
          <w:tcPr>
            <w:tcW w:w="1432"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w:t>
            </w:r>
          </w:p>
        </w:tc>
        <w:tc>
          <w:tcPr>
            <w:tcW w:w="901" w:type="dxa"/>
            <w:shd w:val="clear" w:color="auto" w:fill="auto"/>
            <w:vAlign w:val="center"/>
          </w:tcPr>
          <w:p>
            <w:pPr>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约束性</w:t>
            </w:r>
          </w:p>
        </w:tc>
      </w:tr>
      <w:bookmarkEnd w:id="17"/>
    </w:tbl>
    <w:p>
      <w:pPr>
        <w:widowControl/>
        <w:jc w:val="left"/>
        <w:rPr>
          <w:rFonts w:ascii="黑体" w:hAnsi="黑体" w:eastAsia="黑体"/>
          <w:color w:val="000000" w:themeColor="text1"/>
          <w:kern w:val="44"/>
          <w:sz w:val="32"/>
          <w:szCs w:val="32"/>
          <w14:textFill>
            <w14:solidFill>
              <w14:schemeClr w14:val="tx1"/>
            </w14:solidFill>
          </w14:textFill>
        </w:rPr>
      </w:pPr>
      <w:r>
        <w:rPr>
          <w:rFonts w:ascii="黑体" w:hAnsi="黑体" w:eastAsia="黑体"/>
          <w:b/>
          <w:bCs/>
          <w:color w:val="000000" w:themeColor="text1"/>
          <w:sz w:val="32"/>
          <w:szCs w:val="32"/>
          <w14:textFill>
            <w14:solidFill>
              <w14:schemeClr w14:val="tx1"/>
            </w14:solidFill>
          </w14:textFill>
        </w:rPr>
        <w:br w:type="page"/>
      </w:r>
    </w:p>
    <w:p>
      <w:pPr>
        <w:pStyle w:val="2"/>
        <w:adjustRightInd w:val="0"/>
        <w:snapToGrid w:val="0"/>
        <w:spacing w:before="156" w:beforeLines="50" w:after="156" w:afterLines="50" w:line="240" w:lineRule="auto"/>
        <w:jc w:val="center"/>
        <w:rPr>
          <w:rFonts w:ascii="Times New Roman" w:hAnsi="Times New Roman" w:eastAsia="黑体"/>
          <w:b w:val="0"/>
          <w:color w:val="000000" w:themeColor="text1"/>
          <w:sz w:val="32"/>
          <w14:textFill>
            <w14:solidFill>
              <w14:schemeClr w14:val="tx1"/>
            </w14:solidFill>
          </w14:textFill>
        </w:rPr>
      </w:pPr>
      <w:bookmarkStart w:id="22" w:name="_Toc71192350"/>
      <w:r>
        <w:rPr>
          <w:rFonts w:hint="eastAsia" w:ascii="Times New Roman" w:hAnsi="Times New Roman" w:eastAsia="黑体"/>
          <w:b w:val="0"/>
          <w:color w:val="000000" w:themeColor="text1"/>
          <w:sz w:val="32"/>
          <w14:textFill>
            <w14:solidFill>
              <w14:schemeClr w14:val="tx1"/>
            </w14:solidFill>
          </w14:textFill>
        </w:rPr>
        <w:t>第二章 推动撤县设市，打造商丘西部区域性中心城市</w:t>
      </w:r>
      <w:bookmarkEnd w:id="22"/>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以县域治理“三起来”为根本遵循，围绕撤县设市发展目标，打造商丘西部区域性中心城市，提升县城中心区发展能级，全面推进小城镇节点功能提升，加快推进以人为核心的新型城镇化。</w:t>
      </w:r>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23" w:name="_Toc71192351"/>
      <w:r>
        <w:rPr>
          <w:rFonts w:hint="eastAsia" w:ascii="Times New Roman" w:hAnsi="Times New Roman" w:eastAsia="楷体"/>
          <w:bCs w:val="0"/>
          <w:color w:val="000000" w:themeColor="text1"/>
          <w:szCs w:val="20"/>
          <w14:textFill>
            <w14:solidFill>
              <w14:schemeClr w14:val="tx1"/>
            </w14:solidFill>
          </w14:textFill>
        </w:rPr>
        <w:t>第一节 全力推进撤县设市</w:t>
      </w:r>
      <w:bookmarkEnd w:id="23"/>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坚持立足全局，统筹推进，夯实撤县设市工作基础，完善撤县设市工作保障，力争实现撤县设市。</w:t>
      </w:r>
    </w:p>
    <w:p>
      <w:pPr>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夯实撤县设市基础。</w:t>
      </w:r>
      <w:r>
        <w:rPr>
          <w:rFonts w:hint="eastAsia" w:ascii="仿宋_GB2312" w:hAnsi="仿宋" w:eastAsia="仿宋_GB2312"/>
          <w:color w:val="000000" w:themeColor="text1"/>
          <w:sz w:val="32"/>
          <w:szCs w:val="32"/>
          <w14:textFill>
            <w14:solidFill>
              <w14:schemeClr w14:val="tx1"/>
            </w14:solidFill>
          </w14:textFill>
        </w:rPr>
        <w:t>对照撤县设市标准，强优势、补短板。加快推进新型城镇化，鼓励人口向县城集聚集中，加快提升全县经济在全省县域经济中的位次，加强城镇基础设施和公共服务设施建设，确保人口、经济、基础设施、公共服务等指标全面达标。争取“十四五”前两年，短板全部补齐，各项指标更加优化，为撤县设市奠定坚实基础。</w:t>
      </w:r>
    </w:p>
    <w:p>
      <w:pPr>
        <w:ind w:firstLine="643" w:firstLineChars="200"/>
        <w:rPr>
          <w:rFonts w:ascii="仿宋_GB2312" w:hAnsi="仿宋" w:eastAsia="仿宋_GB2312"/>
          <w:b/>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优化提升各项指标。</w:t>
      </w:r>
      <w:r>
        <w:rPr>
          <w:rFonts w:hint="eastAsia" w:ascii="仿宋_GB2312" w:hAnsi="仿宋" w:eastAsia="仿宋_GB2312"/>
          <w:color w:val="000000" w:themeColor="text1"/>
          <w:sz w:val="32"/>
          <w:szCs w:val="32"/>
          <w14:textFill>
            <w14:solidFill>
              <w14:schemeClr w14:val="tx1"/>
            </w14:solidFill>
          </w14:textFill>
        </w:rPr>
        <w:t>壮大中心城区人口规模，推动花园乡撤乡设办，力争常住人口城镇化率高于全市平均水平。持续提升经济能级，确保全县人均地区生产总值、人均地方一般公共财政预算收入连续位居河南所辖县前列。完善提升基础设施，巩固综合交通运输网络，确保公共交通、道路桥梁、地下管网、防涝防洪、公共消防及其他市政公用设施、配套安全设施、应急避难场所等全部达到设市要求。优化提升公共服务，推进实现城镇常住人口低收入住房保障家庭全覆盖，城镇常住人口基本公共就业服务全覆盖，教育、医疗、养老等各项指标全面超越设市要求。建设符合国家标准的公共图书馆、文化馆，推进乡、镇、街道综合文化站全覆盖、体育健身设施社区全覆盖。</w:t>
      </w:r>
    </w:p>
    <w:p>
      <w:pPr>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完善撤县设市工作保障。</w:t>
      </w:r>
      <w:r>
        <w:rPr>
          <w:rFonts w:hint="eastAsia" w:ascii="仿宋_GB2312" w:hAnsi="仿宋" w:eastAsia="仿宋_GB2312"/>
          <w:color w:val="000000" w:themeColor="text1"/>
          <w:sz w:val="32"/>
          <w:szCs w:val="32"/>
          <w14:textFill>
            <w14:solidFill>
              <w14:schemeClr w14:val="tx1"/>
            </w14:solidFill>
          </w14:textFill>
        </w:rPr>
        <w:t>建立健全撤县设市组织、财政等各项保障机制。积极开展撤县设市前期论证，优化城市行政区划设置，全面权衡撤县设市行政区划调整的必要性和可行性，确保调整方案科学合理。加强与省、市民政部门的业务沟通和衔接，做好申报前期协调沟通工作，争取上级政府和民政部门的支持。严格申报程序，完善申报材料，依法依规做好申报审核各项工作。加强风险评估，制定撤县设市行政区划调整工作方案和社会稳定风险评估，制定切实可行的风险防范化解措施和预案，确保平稳过渡。力争“十四五”期间成功实现撤县设市。</w:t>
      </w:r>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24" w:name="_Toc71192352"/>
      <w:r>
        <w:rPr>
          <w:rFonts w:hint="eastAsia" w:ascii="Times New Roman" w:hAnsi="Times New Roman" w:eastAsia="楷体"/>
          <w:bCs w:val="0"/>
          <w:color w:val="000000" w:themeColor="text1"/>
          <w:szCs w:val="20"/>
          <w14:textFill>
            <w14:solidFill>
              <w14:schemeClr w14:val="tx1"/>
            </w14:solidFill>
          </w14:textFill>
        </w:rPr>
        <w:t>第二节 打造商丘西部区域性中心城市</w:t>
      </w:r>
      <w:bookmarkEnd w:id="24"/>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坚持规划引领，着力建设“六城”，推动全县产业体系、乡村振兴、生态文明、枢纽经济、文化创新、城镇建设和公共服务高质量发展，强力支撑区域性中心城市打造。</w:t>
      </w:r>
    </w:p>
    <w:p>
      <w:pPr>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做大做强高质量新型制冷装备城。</w:t>
      </w:r>
      <w:r>
        <w:rPr>
          <w:rFonts w:hint="eastAsia" w:ascii="仿宋_GB2312" w:hAnsi="仿宋" w:eastAsia="仿宋_GB2312"/>
          <w:color w:val="000000" w:themeColor="text1"/>
          <w:sz w:val="32"/>
          <w:szCs w:val="32"/>
          <w14:textFill>
            <w14:solidFill>
              <w14:schemeClr w14:val="tx1"/>
            </w14:solidFill>
          </w14:textFill>
        </w:rPr>
        <w:t>实施“工业强县”战略，做大做强新型制冷装备制造主导产业，培育壮大新兴产业，打造新型制冷装备制造、绿色食品加工、电子信息等产业集群。强化科技创新引领，夯实产业基础支撑，提升品牌竞争优势，提升产业链供应链现代化水平，提升新型制冷装备城知名度和影响力。</w:t>
      </w:r>
    </w:p>
    <w:p>
      <w:pPr>
        <w:ind w:firstLine="643" w:firstLineChars="200"/>
        <w:rPr>
          <w:rFonts w:ascii="仿宋_GB2312" w:hAnsi="仿宋" w:eastAsia="仿宋_GB2312"/>
          <w:b/>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做实做牢高水平乡村振兴示范城。</w:t>
      </w:r>
      <w:r>
        <w:rPr>
          <w:rFonts w:hint="eastAsia" w:ascii="仿宋_GB2312" w:hAnsi="仿宋" w:eastAsia="仿宋_GB2312"/>
          <w:color w:val="000000" w:themeColor="text1"/>
          <w:sz w:val="32"/>
          <w:szCs w:val="32"/>
          <w14:textFill>
            <w14:solidFill>
              <w14:schemeClr w14:val="tx1"/>
            </w14:solidFill>
          </w14:textFill>
        </w:rPr>
        <w:t>全面实施乡村振兴战略，统筹推进农村经济建设、政治建设、文化建设、社会建设、生态文明建设和党的建设。持续夯实粮食生产能力，积极发展乡村优势特色农业，推进产业融合发展，提高农业质量效益和竞争力。持续改善农村人居环境，加强乡风文明建设，营造和谐文明新乡风，强化基层组织建设，完善乡村治理体系，打造乡村振兴的民权标杆。</w:t>
      </w:r>
    </w:p>
    <w:p>
      <w:pPr>
        <w:ind w:firstLine="643" w:firstLineChars="200"/>
        <w:rPr>
          <w:rFonts w:ascii="仿宋_GB2312" w:hAnsi="仿宋" w:eastAsia="仿宋_GB2312"/>
          <w:b/>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做美做优高标准全域生态文明城</w:t>
      </w:r>
      <w:r>
        <w:rPr>
          <w:rFonts w:hint="eastAsia" w:ascii="仿宋_GB2312" w:hAnsi="仿宋" w:eastAsia="仿宋_GB2312"/>
          <w:color w:val="000000" w:themeColor="text1"/>
          <w:sz w:val="32"/>
          <w:szCs w:val="32"/>
          <w14:textFill>
            <w14:solidFill>
              <w14:schemeClr w14:val="tx1"/>
            </w14:solidFill>
          </w14:textFill>
        </w:rPr>
        <w:t>。深入落实黄河流域生态保护和高质量发展战略，推进黄河故道生态保护修复，加强黄河故道国际重要湿地建设，以黄河故道生态廊道建设引领全县生态文明建设。持续开展国土绿化提速、提质、增效行动，加强大气污染联防联控，深入推进水污染治理和土壤污染治理。推进生产生活方式绿色转型，巩固提升国家园林城、省级生态城、省级森林城市的形象、地位和知名度。</w:t>
      </w:r>
    </w:p>
    <w:p>
      <w:pPr>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做广做强高能级交通物流枢纽城。</w:t>
      </w:r>
      <w:r>
        <w:rPr>
          <w:rFonts w:hint="eastAsia" w:ascii="仿宋_GB2312" w:hAnsi="仿宋" w:eastAsia="仿宋_GB2312"/>
          <w:color w:val="000000" w:themeColor="text1"/>
          <w:sz w:val="32"/>
          <w:szCs w:val="32"/>
          <w14:textFill>
            <w14:solidFill>
              <w14:schemeClr w14:val="tx1"/>
            </w14:solidFill>
          </w14:textFill>
        </w:rPr>
        <w:t>建设现代化综合交通运输体系，加快高速公路建设，全面构建四面环城的高速公路网。加快普通干线公路升级改造，积极融入商丘“三环九放射”格局。稳步建设通用机场，加快推进民权通用机场建成运营。全面加强郑徐高铁民权综合枢纽站一体化综合交通枢纽建设，推进各种运输方式一体化融合发展，提高网络效率和运营效率。做大做强物流和电子商务两大枢纽经济先导产业，完善商贸物流服务体系，积极发展枢纽经济。</w:t>
      </w:r>
    </w:p>
    <w:p>
      <w:pPr>
        <w:ind w:firstLine="643" w:firstLineChars="200"/>
        <w:rPr>
          <w:rFonts w:ascii="仿宋_GB2312" w:hAnsi="仿宋" w:eastAsia="仿宋_GB2312"/>
          <w:b/>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做特做新高层次黄河故道文旅城。</w:t>
      </w:r>
      <w:r>
        <w:rPr>
          <w:rFonts w:hint="eastAsia" w:ascii="仿宋_GB2312" w:hAnsi="仿宋" w:eastAsia="仿宋_GB2312"/>
          <w:color w:val="000000" w:themeColor="text1"/>
          <w:sz w:val="32"/>
          <w:szCs w:val="32"/>
          <w14:textFill>
            <w14:solidFill>
              <w14:schemeClr w14:val="tx1"/>
            </w14:solidFill>
          </w14:textFill>
        </w:rPr>
        <w:t>打造庄子文化、红色文化、虎文化、葡萄酒文化、名人文化、黄河故道文化、湿地生态文化等特色文化名片。构建大生态、大文旅格局，</w:t>
      </w:r>
      <w:r>
        <w:rPr>
          <w:rFonts w:hint="eastAsia" w:ascii="仿宋_GB2312" w:hAnsi="华文仿宋" w:eastAsia="仿宋_GB2312"/>
          <w:color w:val="000000" w:themeColor="text1"/>
          <w:sz w:val="32"/>
          <w:szCs w:val="32"/>
          <w14:textFill>
            <w14:solidFill>
              <w14:schemeClr w14:val="tx1"/>
            </w14:solidFill>
          </w14:textFill>
        </w:rPr>
        <w:t>高质量打造黄河故道生态文化观光体验之旅、庄子文化逍遥之旅、特色乡村民俗之旅、红色文化教育之旅、葡萄酒文化品鉴之旅等精品旅游路线，重点打造全景式庄子小镇，创建全域旅游示范县。</w:t>
      </w:r>
    </w:p>
    <w:p>
      <w:pPr>
        <w:ind w:firstLine="643" w:firstLineChars="200"/>
        <w:rPr>
          <w:rFonts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做美做富高品质美丽幸福宜居城。</w:t>
      </w:r>
      <w:r>
        <w:rPr>
          <w:rFonts w:hint="eastAsia" w:ascii="仿宋_GB2312" w:hAnsi="仿宋_GB2312" w:eastAsia="仿宋_GB2312" w:cs="仿宋_GB2312"/>
          <w:color w:val="000000" w:themeColor="text1"/>
          <w:sz w:val="32"/>
          <w:szCs w:val="32"/>
          <w:lang w:val="zh-CN"/>
          <w14:textFill>
            <w14:solidFill>
              <w14:schemeClr w14:val="tx1"/>
            </w14:solidFill>
          </w14:textFill>
        </w:rPr>
        <w:t>坚持高起点规划、高水平设计、</w:t>
      </w:r>
      <w:r>
        <w:rPr>
          <w:rFonts w:hint="eastAsia" w:ascii="仿宋_GB2312" w:hAnsi="仿宋_GB2312" w:eastAsia="仿宋_GB2312" w:cs="仿宋_GB2312"/>
          <w:color w:val="000000" w:themeColor="text1"/>
          <w:sz w:val="32"/>
          <w:szCs w:val="32"/>
          <w14:textFill>
            <w14:solidFill>
              <w14:schemeClr w14:val="tx1"/>
            </w14:solidFill>
          </w14:textFill>
        </w:rPr>
        <w:t>高标准建设，优化城市功能分区，</w:t>
      </w:r>
      <w:r>
        <w:rPr>
          <w:rFonts w:hint="eastAsia" w:ascii="仿宋_GB2312" w:hAnsi="仿宋" w:eastAsia="仿宋_GB2312"/>
          <w:color w:val="000000" w:themeColor="text1"/>
          <w:sz w:val="32"/>
          <w:szCs w:val="32"/>
          <w14:textFill>
            <w14:solidFill>
              <w14:schemeClr w14:val="tx1"/>
            </w14:solidFill>
          </w14:textFill>
        </w:rPr>
        <w:t>提升发展城东新区，推进老城区有机更新，完善高铁商务商业区，打造精品特色商业区。</w:t>
      </w:r>
      <w:r>
        <w:rPr>
          <w:rFonts w:hint="eastAsia" w:ascii="仿宋_GB2312" w:hAnsi="仿宋_GB2312" w:eastAsia="仿宋_GB2312" w:cs="仿宋_GB2312"/>
          <w:color w:val="000000" w:themeColor="text1"/>
          <w:sz w:val="32"/>
          <w:szCs w:val="32"/>
          <w14:textFill>
            <w14:solidFill>
              <w14:schemeClr w14:val="tx1"/>
            </w14:solidFill>
          </w14:textFill>
        </w:rPr>
        <w:t>建设绿地系统、生态水系、公园、广场等开放空间，优化人居环境。统筹基础设施建设和公共服务功能提升，</w:t>
      </w:r>
      <w:r>
        <w:rPr>
          <w:rFonts w:hint="eastAsia" w:ascii="仿宋_GB2312" w:hAnsi="仿宋_GB2312" w:eastAsia="仿宋_GB2312" w:cs="仿宋_GB2312"/>
          <w:color w:val="000000" w:themeColor="text1"/>
          <w:sz w:val="32"/>
          <w:szCs w:val="32"/>
          <w:lang w:val="zh-CN"/>
          <w14:textFill>
            <w14:solidFill>
              <w14:schemeClr w14:val="tx1"/>
            </w14:solidFill>
          </w14:textFill>
        </w:rPr>
        <w:t>丰富居民文化生活，打造便捷的生态休闲圈、生活服务圈，创建全国文明城市和国家级卫生城，建设美丽宜居家园，提高居民的幸福感。</w:t>
      </w:r>
    </w:p>
    <w:p>
      <w:pPr>
        <w:widowControl/>
        <w:jc w:val="left"/>
        <w:rPr>
          <w:rFonts w:ascii="仿宋_GB2312" w:hAnsi="仿宋_GB2312" w:eastAsia="仿宋_GB2312" w:cs="仿宋_GB2312"/>
          <w:color w:val="000000" w:themeColor="text1"/>
          <w:sz w:val="32"/>
          <w:szCs w:val="32"/>
          <w:lang w:val="zh-CN"/>
          <w14:textFill>
            <w14:solidFill>
              <w14:schemeClr w14:val="tx1"/>
            </w14:solidFill>
          </w14:textFill>
        </w:rPr>
      </w:pPr>
      <w:r>
        <w:rPr>
          <w:rFonts w:ascii="仿宋_GB2312" w:hAnsi="仿宋_GB2312" w:eastAsia="仿宋_GB2312" w:cs="仿宋_GB2312"/>
          <w:color w:val="000000" w:themeColor="text1"/>
          <w:sz w:val="32"/>
          <w:szCs w:val="32"/>
          <w:lang w:val="zh-CN"/>
          <w14:textFill>
            <w14:solidFill>
              <w14:schemeClr w14:val="tx1"/>
            </w14:solidFill>
          </w14:textFill>
        </w:rPr>
        <w:br w:type="page"/>
      </w:r>
    </w:p>
    <w:p>
      <w:pPr>
        <w:pStyle w:val="2"/>
        <w:adjustRightInd w:val="0"/>
        <w:snapToGrid w:val="0"/>
        <w:spacing w:before="156" w:beforeLines="50" w:after="156" w:afterLines="50" w:line="240" w:lineRule="auto"/>
        <w:jc w:val="center"/>
        <w:rPr>
          <w:rFonts w:ascii="Times New Roman" w:hAnsi="Times New Roman" w:eastAsia="黑体"/>
          <w:b w:val="0"/>
          <w:color w:val="000000" w:themeColor="text1"/>
          <w:sz w:val="32"/>
          <w14:textFill>
            <w14:solidFill>
              <w14:schemeClr w14:val="tx1"/>
            </w14:solidFill>
          </w14:textFill>
        </w:rPr>
      </w:pPr>
      <w:bookmarkStart w:id="25" w:name="_Toc71192353"/>
      <w:r>
        <w:rPr>
          <w:rFonts w:hint="eastAsia" w:ascii="Times New Roman" w:hAnsi="Times New Roman" w:eastAsia="黑体"/>
          <w:b w:val="0"/>
          <w:color w:val="000000" w:themeColor="text1"/>
          <w:sz w:val="32"/>
          <w14:textFill>
            <w14:solidFill>
              <w14:schemeClr w14:val="tx1"/>
            </w14:solidFill>
          </w14:textFill>
        </w:rPr>
        <w:t>第三章 完善产业体系，建设高质量新型制冷装备城</w:t>
      </w:r>
      <w:bookmarkEnd w:id="25"/>
    </w:p>
    <w:p>
      <w:pPr>
        <w:ind w:firstLine="640"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实施“工业强县”战略，以“一区四园”为载体，以乡镇工业园为支点，以项目建设为抓手，推进产业基础高级化、产业链现代化。推动特色商业区向高端生产、高端生活服务演进，向商务服务产业园优化升级，改善服务业供给质量，拓展数字经济发展空间。强化集群集聚、创新驱动、融合互动和质量品牌建设，实施工业企业升级培育工程，促进产业转型升级。</w:t>
      </w:r>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26" w:name="_Toc65849352"/>
      <w:bookmarkStart w:id="27" w:name="_Toc71192354"/>
      <w:r>
        <w:rPr>
          <w:rFonts w:hint="eastAsia" w:ascii="Times New Roman" w:hAnsi="Times New Roman" w:eastAsia="楷体"/>
          <w:bCs w:val="0"/>
          <w:color w:val="000000" w:themeColor="text1"/>
          <w:szCs w:val="20"/>
          <w14:textFill>
            <w14:solidFill>
              <w14:schemeClr w14:val="tx1"/>
            </w14:solidFill>
          </w14:textFill>
        </w:rPr>
        <w:t>第一节 打造高新区</w:t>
      </w:r>
      <w:bookmarkEnd w:id="26"/>
      <w:r>
        <w:rPr>
          <w:rFonts w:hint="eastAsia" w:ascii="Times New Roman" w:hAnsi="Times New Roman" w:eastAsia="楷体"/>
          <w:bCs w:val="0"/>
          <w:color w:val="000000" w:themeColor="text1"/>
          <w:szCs w:val="20"/>
          <w14:textFill>
            <w14:solidFill>
              <w14:schemeClr w14:val="tx1"/>
            </w14:solidFill>
          </w14:textFill>
        </w:rPr>
        <w:t>百亿级产业集群</w:t>
      </w:r>
      <w:bookmarkEnd w:id="27"/>
    </w:p>
    <w:p>
      <w:pPr>
        <w:ind w:firstLine="640"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立足产业优势，锻造产业链供应链长板，补齐产业链供应链短板。突出做强新型制冷装备制造，做优以葡萄酒为主的绿色食品加工，培育壮大电子信息等先进新兴制造。推动高新区体制机制创新，加强高端专业园区规划建设，高质量承接产业转移，促进集约节约，提升高新区大型工业企业全县占比，加快提升集群发展优势。力争“十四五”末，高新区三大主导优势产业集群产值达到五百亿元以上。</w:t>
      </w:r>
    </w:p>
    <w:p>
      <w:pPr>
        <w:adjustRightInd w:val="0"/>
        <w:snapToGrid w:val="0"/>
        <w:ind w:firstLine="640" w:firstLineChars="200"/>
        <w:outlineLvl w:val="2"/>
        <w:rPr>
          <w:rFonts w:ascii="仿宋_GB2312" w:hAnsi="黑体" w:eastAsia="仿宋_GB2312"/>
          <w:color w:val="000000" w:themeColor="text1"/>
          <w14:textFill>
            <w14:solidFill>
              <w14:schemeClr w14:val="tx1"/>
            </w14:solidFill>
          </w14:textFill>
        </w:rPr>
      </w:pPr>
      <w:bookmarkStart w:id="28" w:name="_Toc65849353"/>
      <w:bookmarkStart w:id="29" w:name="_Toc71192355"/>
      <w:r>
        <w:rPr>
          <w:rFonts w:hint="eastAsia" w:ascii="Times New Roman" w:hAnsi="Times New Roman" w:eastAsia="楷体"/>
          <w:color w:val="000000" w:themeColor="text1"/>
          <w:sz w:val="32"/>
          <w:szCs w:val="32"/>
          <w14:textFill>
            <w14:solidFill>
              <w14:schemeClr w14:val="tx1"/>
            </w14:solidFill>
          </w14:textFill>
        </w:rPr>
        <w:t>（一）强化新型制冷装备制造集群优势</w:t>
      </w:r>
      <w:bookmarkEnd w:id="28"/>
      <w:bookmarkEnd w:id="29"/>
    </w:p>
    <w:p>
      <w:pPr>
        <w:ind w:firstLine="643"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——大力提升产业链供应链现代化水平。</w:t>
      </w:r>
      <w:r>
        <w:rPr>
          <w:rFonts w:hint="eastAsia" w:ascii="仿宋_GB2312" w:hAnsi="华文仿宋" w:eastAsia="仿宋_GB2312"/>
          <w:color w:val="000000" w:themeColor="text1"/>
          <w:sz w:val="32"/>
          <w:szCs w:val="32"/>
          <w14:textFill>
            <w14:solidFill>
              <w14:schemeClr w14:val="tx1"/>
            </w14:solidFill>
          </w14:textFill>
        </w:rPr>
        <w:t>实施聚链延链补链强链行动，促进要素集聚，推动全产业链优化升级。进一步强化集群优势，支持新型制冷装备和关键零部件龙头企业成体系引入，鼓励新技术在民权转化、新产品在民权生产，提高本地配套占比。丰富制冷产业门类，增加中高档产品供给，推动制冷设备由标准柜向特种柜、异型柜转变，实现由家用、商用制冷向工业、医用、科研等专业制冷拓展，由单一制冷家电向多样化轻型智能家电延伸，由量的扩充向质的提升转变，由民权制造向民权智造升级。支持新能源冷藏车、新型家电、智能家电、温度传感器、智慧物联等关联产业发展。优化产业生态链，化解低端过剩产能，引导龙头企业“走出去”，对接全球产业链和国际市场，保留供应链关键环节，强化优势领先地位。落实制冷产业“链长制”，促进产业链、创新链、人才链、资金链四链融合，提高产业链稳定性和竞争力。</w:t>
      </w:r>
    </w:p>
    <w:p>
      <w:pPr>
        <w:ind w:firstLine="643"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——强化产业平台发展创新。</w:t>
      </w:r>
      <w:r>
        <w:rPr>
          <w:rFonts w:hint="eastAsia" w:ascii="仿宋_GB2312" w:hAnsi="华文仿宋" w:eastAsia="仿宋_GB2312"/>
          <w:color w:val="000000" w:themeColor="text1"/>
          <w:sz w:val="32"/>
          <w:szCs w:val="32"/>
          <w14:textFill>
            <w14:solidFill>
              <w14:schemeClr w14:val="tx1"/>
            </w14:solidFill>
          </w14:textFill>
        </w:rPr>
        <w:t>发挥国家检测检验中心、国家级科技孵化器、省级综合检测中心、制冷院士工作站、博士后研发基地、一批工程技术（研发）中心等平台作用，加快技术研发和转化。优化科研合作机制，促进政产学研用金创新联盟合作，推动协同创新。推动企业自主创新平台建设，催生一批高新技术企业。将招商引资重点转向高科技、高税收、高附加值项目。深化与浙江大学、江南大学等高校合作，引进科研成果转化项目，引进或共建能够实质促进技术创新的科研分支机构,推动制冷产业高质量发展。办好制冷装备博览会，发布“中国·民权制冷产业指数”，办好制冷学院，扩大制冷品牌知名度和影响力。</w:t>
      </w:r>
    </w:p>
    <w:p>
      <w:pPr>
        <w:ind w:firstLine="643"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——打造“中国冷谷”。</w:t>
      </w:r>
      <w:r>
        <w:rPr>
          <w:rFonts w:hint="eastAsia" w:ascii="仿宋_GB2312" w:hAnsi="华文仿宋" w:eastAsia="仿宋_GB2312"/>
          <w:color w:val="000000" w:themeColor="text1"/>
          <w:sz w:val="32"/>
          <w:szCs w:val="32"/>
          <w14:textFill>
            <w14:solidFill>
              <w14:schemeClr w14:val="tx1"/>
            </w14:solidFill>
          </w14:textFill>
        </w:rPr>
        <w:t>到2025年实现：制冷和装备企业发展到200余家，实现年产2000万台能力，高端、智能产品占比达到30%以上，冰箱、冷柜、空调器等制冷产品有效达产。冷藏保温专用车年产能达到3万辆，国内市场占有率60%以上。实现冷藏保温专用车信息化功能，氢燃料等新能源冷藏专用车占比大幅提高，建设新型冷链物流车、商用物流车生产基地。制冷配件实现域内全配套，空调压缩机实现从无到有，冰箱、冷柜用压缩机本地配套占比达到80%，散配件、电器件、车底盘、冷冻机组等占比达到70-80%。大型移动机组、工业、商用、冷库用机组在国内市场占一席之地，海运、干线运输等大型冷冻设备占园区冷藏运输设备的30%以上。智能家电、新型电器、家用机器人产业初具规模，形成与制冷家电互动促进格局。</w:t>
      </w:r>
    </w:p>
    <w:p>
      <w:pPr>
        <w:adjustRightInd w:val="0"/>
        <w:snapToGrid w:val="0"/>
        <w:ind w:firstLine="640" w:firstLineChars="200"/>
        <w:outlineLvl w:val="2"/>
        <w:rPr>
          <w:rFonts w:ascii="仿宋_GB2312" w:hAnsi="黑体" w:eastAsia="仿宋_GB2312"/>
          <w:color w:val="000000" w:themeColor="text1"/>
          <w14:textFill>
            <w14:solidFill>
              <w14:schemeClr w14:val="tx1"/>
            </w14:solidFill>
          </w14:textFill>
        </w:rPr>
      </w:pPr>
      <w:bookmarkStart w:id="30" w:name="_Toc71192356"/>
      <w:bookmarkStart w:id="31" w:name="_Toc65849354"/>
      <w:r>
        <w:rPr>
          <w:rFonts w:hint="eastAsia" w:ascii="Times New Roman" w:hAnsi="Times New Roman" w:eastAsia="楷体"/>
          <w:color w:val="000000" w:themeColor="text1"/>
          <w:sz w:val="32"/>
          <w:szCs w:val="32"/>
          <w14:textFill>
            <w14:solidFill>
              <w14:schemeClr w14:val="tx1"/>
            </w14:solidFill>
          </w14:textFill>
        </w:rPr>
        <w:t>（二）做优以葡萄酒为主的绿色食品加工业</w:t>
      </w:r>
      <w:bookmarkEnd w:id="30"/>
      <w:bookmarkEnd w:id="31"/>
    </w:p>
    <w:p>
      <w:pPr>
        <w:ind w:firstLine="643"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——加快提升葡萄酒加工业。</w:t>
      </w:r>
      <w:r>
        <w:rPr>
          <w:rFonts w:hint="eastAsia" w:ascii="仿宋_GB2312" w:hAnsi="华文仿宋" w:eastAsia="仿宋_GB2312"/>
          <w:color w:val="000000" w:themeColor="text1"/>
          <w:sz w:val="32"/>
          <w:szCs w:val="32"/>
          <w14:textFill>
            <w14:solidFill>
              <w14:schemeClr w14:val="tx1"/>
            </w14:solidFill>
          </w14:textFill>
        </w:rPr>
        <w:t>支持全产业链型企业扩大规模，构建“基地-酿酒-品牌”于一体的基地型企业集群发展格局。以葡萄酒庄园为载体，支持建立大中型种植基地，带动农户种植，稳定供应链。研发适宜酿酒葡萄品种，开发多品类酒种，围绕品种选育、品质调控、栽培管理、酿造工艺等关键技术，加大研发投入，提高产品品质和技术含量，重塑产区高端形象。合作建设农业（葡萄酒）应用技术学院，加强本地技术骨干和技术人才培养培训。完成“民权葡萄”农产品地理标志登记保护，融合华夏文明、黄河文化、中原文化元素，强化产地形象和文化印记，加强企业品牌和地域品牌建设。引导鼓励天明、龙邑、天裕、帝森等企业向高端发展，积极开拓国际市场，振兴葡萄酒产业。通过产区建设、酒品提升和品牌培育，到“十四五”末，葡萄种植面积达到3万亩，葡萄酒生产能力达到20万吨，努力实现产值突破100亿元。</w:t>
      </w:r>
    </w:p>
    <w:p>
      <w:pPr>
        <w:ind w:firstLine="643"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——建设中部葡萄酒风情城。</w:t>
      </w:r>
      <w:r>
        <w:rPr>
          <w:rFonts w:hint="eastAsia" w:ascii="仿宋_GB2312" w:hAnsi="华文仿宋" w:eastAsia="仿宋_GB2312"/>
          <w:color w:val="000000" w:themeColor="text1"/>
          <w:sz w:val="32"/>
          <w:szCs w:val="32"/>
          <w14:textFill>
            <w14:solidFill>
              <w14:schemeClr w14:val="tx1"/>
            </w14:solidFill>
          </w14:textFill>
        </w:rPr>
        <w:t>加快葡萄酒产业“一带、一镇、两区、多园”建设和提升，推动葡萄酒产业高质量发展。发挥葡萄酒加工多业态联动优势，集农业观光、工业体验、红酒经济打造、黄河故道生态游为一体，推动一二三产业融合发展，在野岗、人和、双塔、310国道沿线发展葡萄种植区，建设酿酒葡萄原料基地和酒庄集群，打造黄河故道葡萄酒产业经济带。加快人和葡萄风情小镇开发建设，形成万吨葡萄酒加工基地和万亩葡萄种植基地。紧抓“豫酒振兴”机遇，提升高新区果酒加工企业集群品质。提升特色商业区红酒经济辐射力、影响力，积极承办国际化会议，加快工业旧址博物馆建设，宣传民权葡萄酒历史文化。依托中国农科院郑州果树研究所民权示范基地等，进一步打造精品酒庄集群，建设葡萄科技示范园、葡萄风景园和省级葡萄园。推动黄河故道葡萄科技馆、葡萄酒文化广场建设。</w:t>
      </w:r>
    </w:p>
    <w:p>
      <w:pPr>
        <w:ind w:firstLine="640"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w:t>
      </w:r>
      <w:r>
        <w:rPr>
          <w:rFonts w:hint="eastAsia" w:ascii="仿宋_GB2312" w:hAnsi="华文仿宋" w:eastAsia="仿宋_GB2312"/>
          <w:b/>
          <w:color w:val="000000" w:themeColor="text1"/>
          <w:sz w:val="32"/>
          <w:szCs w:val="32"/>
          <w14:textFill>
            <w14:solidFill>
              <w14:schemeClr w14:val="tx1"/>
            </w14:solidFill>
          </w14:textFill>
        </w:rPr>
        <w:t>扩大绿色食品、农副产品加工规模</w:t>
      </w:r>
      <w:r>
        <w:rPr>
          <w:rFonts w:hint="eastAsia" w:ascii="仿宋_GB2312" w:hAnsi="华文仿宋" w:eastAsia="仿宋_GB2312"/>
          <w:color w:val="000000" w:themeColor="text1"/>
          <w:sz w:val="32"/>
          <w:szCs w:val="32"/>
          <w14:textFill>
            <w14:solidFill>
              <w14:schemeClr w14:val="tx1"/>
            </w14:solidFill>
          </w14:textFill>
        </w:rPr>
        <w:t>。培育名特优农副产品、食品加工产业集群，扩大面粉、花生、果蔬饮料、麻花、酥梨、辣椒、中草药、蔬菜、食用菌、水产等重点农副产品、食品加工产业规模。延长加工链条，鼓励精深加工，培育壮大制成品加工。推动猪牛羊肉产地深加工，加快正大、牧原双百万养殖、饲料加工项目落地。发展肉类、鲜活、冷冻食品加工和冷链仓储运输，促进物流基地型农副产品、食品加工企业集聚。鼓励休闲食品、食品成品和半成品、速熟自熟食品加工。立足大循环，服务双循环，发展优质食品国际流通性加工。积极融入商丘食品工业链，支持建立特优农产品、食品加工专业园。支持神人助、双龙、九都等龙头企业扩大规模、升级改造，发展完善“食品加工+基地”模式，培育壮大企业集群。</w:t>
      </w:r>
    </w:p>
    <w:p>
      <w:pPr>
        <w:adjustRightInd w:val="0"/>
        <w:snapToGrid w:val="0"/>
        <w:ind w:firstLine="640" w:firstLineChars="200"/>
        <w:outlineLvl w:val="2"/>
        <w:rPr>
          <w:rFonts w:ascii="Times New Roman" w:hAnsi="Times New Roman" w:eastAsia="楷体"/>
          <w:color w:val="000000" w:themeColor="text1"/>
          <w:sz w:val="32"/>
          <w:szCs w:val="32"/>
          <w14:textFill>
            <w14:solidFill>
              <w14:schemeClr w14:val="tx1"/>
            </w14:solidFill>
          </w14:textFill>
        </w:rPr>
      </w:pPr>
      <w:bookmarkStart w:id="32" w:name="_Toc65849355"/>
      <w:bookmarkStart w:id="33" w:name="_Toc71192357"/>
      <w:r>
        <w:rPr>
          <w:rFonts w:hint="eastAsia" w:ascii="Times New Roman" w:hAnsi="Times New Roman" w:eastAsia="楷体"/>
          <w:color w:val="000000" w:themeColor="text1"/>
          <w:sz w:val="32"/>
          <w:szCs w:val="32"/>
          <w14:textFill>
            <w14:solidFill>
              <w14:schemeClr w14:val="tx1"/>
            </w14:solidFill>
          </w14:textFill>
        </w:rPr>
        <w:t>（三）培育壮大先进新兴制造业</w:t>
      </w:r>
      <w:bookmarkEnd w:id="32"/>
      <w:bookmarkEnd w:id="33"/>
    </w:p>
    <w:p>
      <w:pPr>
        <w:ind w:firstLine="643"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——电子信息。</w:t>
      </w:r>
      <w:r>
        <w:rPr>
          <w:rFonts w:hint="eastAsia" w:ascii="仿宋_GB2312" w:hAnsi="华文仿宋" w:eastAsia="仿宋_GB2312"/>
          <w:color w:val="000000" w:themeColor="text1"/>
          <w:sz w:val="32"/>
          <w:szCs w:val="32"/>
          <w14:textFill>
            <w14:solidFill>
              <w14:schemeClr w14:val="tx1"/>
            </w14:solidFill>
          </w14:textFill>
        </w:rPr>
        <w:t>以永耀缘成电子为龙头，引进半导体器件、微电子组件、太阳能电池及组件等关联企业，发展光模块、手机构件、玻璃盖板等产品，建设光电科技产业园，积极融入数字产业链、供应链。建设缘成科技10亿套光电耦合器、夏普光电耦合器生产项目。积极融入5G产业链，突出高端引领和龙头带动，引进5G射频模组、5G终端和配件领域龙头企业和重点项目。发展汽车电子，承接消费电子产品转移，引导新兴电子产业集聚发展。</w:t>
      </w:r>
    </w:p>
    <w:p>
      <w:pPr>
        <w:ind w:firstLine="643"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——智能产业。</w:t>
      </w:r>
      <w:r>
        <w:rPr>
          <w:rFonts w:hint="eastAsia" w:ascii="仿宋_GB2312" w:hAnsi="华文仿宋" w:eastAsia="仿宋_GB2312"/>
          <w:color w:val="000000" w:themeColor="text1"/>
          <w:sz w:val="32"/>
          <w:szCs w:val="32"/>
          <w14:textFill>
            <w14:solidFill>
              <w14:schemeClr w14:val="tx1"/>
            </w14:solidFill>
          </w14:textFill>
        </w:rPr>
        <w:t>依托凯芯源、燊科达和中目科技，带动智能产品、智能设备、VR/AR设备、可穿戴设备、智能传感器、智能影像等领域“专精特新”“小巨人”企业和单项冠军企业入驻。促成澳西智能“智能防爆消防机器人”等一批专用机器人项目落地。发展智能家用电器，积极引进家用智能产品制造企业，推动家用机器人开发和应用企业聚集，培育家庭智能化产业。</w:t>
      </w:r>
    </w:p>
    <w:p>
      <w:pPr>
        <w:ind w:firstLine="643"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——新材料、新能源。</w:t>
      </w:r>
      <w:r>
        <w:rPr>
          <w:rFonts w:hint="eastAsia" w:ascii="仿宋_GB2312" w:hAnsi="华文仿宋" w:eastAsia="仿宋_GB2312" w:cs="仿宋"/>
          <w:color w:val="000000" w:themeColor="text1"/>
          <w:sz w:val="32"/>
          <w:szCs w:val="32"/>
          <w14:textFill>
            <w14:solidFill>
              <w14:schemeClr w14:val="tx1"/>
            </w14:solidFill>
          </w14:textFill>
        </w:rPr>
        <w:t>以宏星华、天利、环拓、中宏铝膜、新活新材料为先导，积极发展铝精深加工产业，推动产业链条延伸，建设高端铝材料产业化基地，培育新一代产业集群。支持爱德时代新能源、威能电源等新能源项目投产达产，建设爱德时代新能源科技年产电池1亿块柔性电子产品（聚合物电池）项目，引入氢燃料电池和大型储能电池项目，推动长途冷藏车氢燃料电池替代，培育动力电池、储能电池产业。促进华建新能源风力发电项目建设和光伏发电维护，推动风力发电、风电储能和供配电项目一体建设。</w:t>
      </w:r>
    </w:p>
    <w:p>
      <w:pPr>
        <w:ind w:firstLine="643"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——生态环保。</w:t>
      </w:r>
      <w:r>
        <w:rPr>
          <w:rFonts w:hint="eastAsia" w:ascii="仿宋_GB2312" w:hAnsi="华文仿宋" w:eastAsia="仿宋_GB2312"/>
          <w:color w:val="000000" w:themeColor="text1"/>
          <w:sz w:val="32"/>
          <w:szCs w:val="32"/>
          <w14:textFill>
            <w14:solidFill>
              <w14:schemeClr w14:val="tx1"/>
            </w14:solidFill>
          </w14:textFill>
        </w:rPr>
        <w:t>培育引进一批专业化环保骨干企业，支持利盈环保上市，提升绿色服务能力。支持环保科技、节能技术企业做大做强，提升科技创新能力。发展壮大光伏发电、风电、生物质等清洁能源产业。培育生态修复产业，推动在国土绿化、盐碱和沙化治理、中小流域治理、湿地和生物多样性保护领域形成产业特色。</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auto"/>
          </w:tcPr>
          <w:p>
            <w:pPr>
              <w:snapToGrid w:val="0"/>
              <w:rPr>
                <w:rFonts w:ascii="宋体" w:hAnsi="宋体"/>
                <w:color w:val="000000" w:themeColor="text1"/>
                <w:szCs w:val="21"/>
                <w14:textFill>
                  <w14:solidFill>
                    <w14:schemeClr w14:val="tx1"/>
                  </w14:solidFill>
                </w14:textFill>
              </w:rPr>
            </w:pPr>
            <w:r>
              <w:rPr>
                <w:rFonts w:hint="eastAsia" w:ascii="Times New Roman" w:hAnsi="Times New Roman" w:eastAsia="黑体"/>
                <w:bCs/>
                <w:color w:val="000000" w:themeColor="text1"/>
                <w:sz w:val="24"/>
                <w:szCs w:val="24"/>
                <w14:textFill>
                  <w14:solidFill>
                    <w14:schemeClr w14:val="tx1"/>
                  </w14:solidFill>
                </w14:textFill>
              </w:rPr>
              <w:t>专栏3-1：高新区发展引导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auto"/>
          </w:tcPr>
          <w:p>
            <w:pPr>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1.高标准编制园区产业发展规划和国土空间规划。推动要素向新型高端制冷装备、电子信息、优质食品加工、智能制造、新材料产业倾斜，向成果转化、双创孵化、保税物流加工倾斜。</w:t>
            </w:r>
          </w:p>
          <w:p>
            <w:pPr>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2.推动体制机制创新。全面推进“二次创业”，推行“管委会+公司”“以亩均论英雄”两项改革。稳步推进人事薪酬制度改革，创新高层次管理人才引进使用机制。</w:t>
            </w:r>
          </w:p>
          <w:p>
            <w:pPr>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3.推动专业园建设。探索成立分产业市场化运营公司，承担区中园开发建设、投资运营、招商引资、专业化服务等功能，稳步推进专业化、公司化招商。</w:t>
            </w:r>
          </w:p>
          <w:p>
            <w:pPr>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4.提高土地利用效率。对企业分类管理，依法实施差别化要素使用价格政策，倒逼转型。全程严控土地监管，推行“标准地”出让、失信惩罚新型管理模式。整治盘活低效用地，支持提高容积率、建设“垂直工厂”、老厂房改造等。</w:t>
            </w:r>
          </w:p>
          <w:p>
            <w:pPr>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5.加强创新平台建设，组织实施主导优势产业关键技术攻关。加快5G、人工智能、物联网、工业互联网等新型基础设施建设。搭建行业级工业互联网平台，实施数字化、智能化转型行动，提高智能化改造、智能制造比例。</w:t>
            </w:r>
          </w:p>
          <w:p>
            <w:pPr>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6.优化营商环境，进一步提高服务意识和服务能力。实施促进民营经发展“两个健康”“一联三帮”专项行动。加强企业和企业家培训，加强企业诚信建设。</w:t>
            </w:r>
          </w:p>
          <w:p>
            <w:pPr>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7.实施精准招商、产业链招商、平台招商和驻地招商。推动高新区企业融入省、市主导优势产业链，聚焦有比较优势的细分领域或中高端环节，针对性开展合作招商。鼓励中小企业加入行业骨干企业和品牌产品产业链。</w:t>
            </w:r>
          </w:p>
          <w:p>
            <w:pPr>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8.推进商标品牌培育基地建设，创建高新区地域品牌。支持企业建立首席质量官制度和专业性质量管理团队。实施企业质量信用分级分类监管。</w:t>
            </w:r>
          </w:p>
          <w:p>
            <w:pPr>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9.高质量承接产业转移，推进“区中园”布局，建设高端专业园、双创园、跨境电商园，支持建设“飞入地”园区。推进产城融合，打造承接产业转移高能级平台。</w:t>
            </w:r>
          </w:p>
        </w:tc>
      </w:tr>
    </w:tbl>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34" w:name="_Toc71192358"/>
      <w:bookmarkStart w:id="35" w:name="_Toc65849356"/>
      <w:r>
        <w:rPr>
          <w:rFonts w:hint="eastAsia" w:ascii="Times New Roman" w:hAnsi="Times New Roman" w:eastAsia="楷体"/>
          <w:bCs w:val="0"/>
          <w:color w:val="000000" w:themeColor="text1"/>
          <w:szCs w:val="20"/>
          <w14:textFill>
            <w14:solidFill>
              <w14:schemeClr w14:val="tx1"/>
            </w14:solidFill>
          </w14:textFill>
        </w:rPr>
        <w:t>第二节 高标准建设四个产业园</w:t>
      </w:r>
      <w:bookmarkEnd w:id="34"/>
      <w:bookmarkEnd w:id="35"/>
    </w:p>
    <w:p>
      <w:pPr>
        <w:adjustRightInd w:val="0"/>
        <w:snapToGrid w:val="0"/>
        <w:ind w:firstLine="640" w:firstLineChars="200"/>
        <w:outlineLvl w:val="2"/>
        <w:rPr>
          <w:rFonts w:ascii="Times New Roman" w:hAnsi="Times New Roman" w:eastAsia="楷体"/>
          <w:color w:val="000000" w:themeColor="text1"/>
          <w:sz w:val="32"/>
          <w:szCs w:val="32"/>
          <w14:textFill>
            <w14:solidFill>
              <w14:schemeClr w14:val="tx1"/>
            </w14:solidFill>
          </w14:textFill>
        </w:rPr>
      </w:pPr>
      <w:bookmarkStart w:id="36" w:name="_Toc71192359"/>
      <w:bookmarkStart w:id="37" w:name="_Toc65849357"/>
      <w:r>
        <w:rPr>
          <w:rFonts w:hint="eastAsia" w:ascii="Times New Roman" w:hAnsi="Times New Roman" w:eastAsia="楷体"/>
          <w:color w:val="000000" w:themeColor="text1"/>
          <w:sz w:val="32"/>
          <w:szCs w:val="32"/>
          <w14:textFill>
            <w14:solidFill>
              <w14:schemeClr w14:val="tx1"/>
            </w14:solidFill>
          </w14:textFill>
        </w:rPr>
        <w:t>（一）依托民权电厂，发展循环经济产业园</w:t>
      </w:r>
      <w:bookmarkEnd w:id="36"/>
      <w:bookmarkEnd w:id="37"/>
    </w:p>
    <w:p>
      <w:pPr>
        <w:ind w:firstLine="640"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依托热电厂，升级孙六镇工业园，大力培育“电力、新型建材、循环经济”三大产业，建设循环经济产业园。鼓励用电、用气、用热偏好型产业向产业园集聚，壮大循环经济。支持引导建材、食品加工等配套企业入园发展，拉长产业链条，扩大产业规模，提升园区能级。调整完善园区规划，加大道路、供排水、热力管网、电力、通讯、绿化、亮化、污水处理等配套基础设施建设，提高园区承载能力。“十四五”末，产业园区新引进亿元以上企业10个，园区工业增加值达到50亿元，建成面积达8平方公里。</w:t>
      </w:r>
    </w:p>
    <w:p>
      <w:pPr>
        <w:adjustRightInd w:val="0"/>
        <w:snapToGrid w:val="0"/>
        <w:ind w:firstLine="640" w:firstLineChars="200"/>
        <w:outlineLvl w:val="2"/>
        <w:rPr>
          <w:rFonts w:ascii="Times New Roman" w:hAnsi="Times New Roman" w:eastAsia="楷体"/>
          <w:color w:val="000000" w:themeColor="text1"/>
          <w:sz w:val="32"/>
          <w:szCs w:val="32"/>
          <w14:textFill>
            <w14:solidFill>
              <w14:schemeClr w14:val="tx1"/>
            </w14:solidFill>
          </w14:textFill>
        </w:rPr>
      </w:pPr>
      <w:bookmarkStart w:id="38" w:name="_Toc71192360"/>
      <w:bookmarkStart w:id="39" w:name="_Toc65849358"/>
      <w:r>
        <w:rPr>
          <w:rFonts w:hint="eastAsia" w:ascii="Times New Roman" w:hAnsi="Times New Roman" w:eastAsia="楷体"/>
          <w:color w:val="000000" w:themeColor="text1"/>
          <w:sz w:val="32"/>
          <w:szCs w:val="32"/>
          <w14:textFill>
            <w14:solidFill>
              <w14:schemeClr w14:val="tx1"/>
            </w14:solidFill>
          </w14:textFill>
        </w:rPr>
        <w:t>（二）依托通航机场，建设通航产业园</w:t>
      </w:r>
      <w:bookmarkEnd w:id="38"/>
      <w:bookmarkEnd w:id="39"/>
    </w:p>
    <w:p>
      <w:pPr>
        <w:ind w:firstLine="643"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——高标准建设机场和配套设施。</w:t>
      </w:r>
      <w:r>
        <w:rPr>
          <w:rFonts w:hint="eastAsia" w:ascii="仿宋_GB2312" w:hAnsi="华文仿宋" w:eastAsia="仿宋_GB2312"/>
          <w:color w:val="000000" w:themeColor="text1"/>
          <w:sz w:val="32"/>
          <w:szCs w:val="32"/>
          <w14:textFill>
            <w14:solidFill>
              <w14:schemeClr w14:val="tx1"/>
            </w14:solidFill>
          </w14:textFill>
        </w:rPr>
        <w:t>按照安全、合理、实用、绿色原则，综合考虑人口、土地、空域资源、交通运输、产业基础等条件，立足市场需求远景和发展实际，推进通用机场和配套设施建设。统筹推进绿洲田园综合体、全域国土综合整治和通航小镇项目，加快机场建成运营。</w:t>
      </w:r>
    </w:p>
    <w:p>
      <w:pPr>
        <w:ind w:firstLine="643"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——促进航空制造。</w:t>
      </w:r>
      <w:r>
        <w:rPr>
          <w:rFonts w:hint="eastAsia" w:ascii="仿宋_GB2312" w:hAnsi="华文仿宋" w:eastAsia="仿宋_GB2312"/>
          <w:color w:val="000000" w:themeColor="text1"/>
          <w:sz w:val="32"/>
          <w:szCs w:val="32"/>
          <w14:textFill>
            <w14:solidFill>
              <w14:schemeClr w14:val="tx1"/>
            </w14:solidFill>
          </w14:textFill>
        </w:rPr>
        <w:t>推动万宝500架固定翼飞机制造项目落地投产，打牢轻型飞机制造产业根基。引进承接具有自主知识产权、质优价廉通用航空制造，发展轻型公务机、民用直升机、新能源飞机、轻型运动飞机、专用无人机等整机制造。支持发动机、机载系统、零部件等配件制造。</w:t>
      </w:r>
    </w:p>
    <w:p>
      <w:pPr>
        <w:ind w:firstLine="643"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——培育航空服务。</w:t>
      </w:r>
      <w:r>
        <w:rPr>
          <w:rFonts w:hint="eastAsia" w:ascii="仿宋_GB2312" w:hAnsi="华文仿宋" w:eastAsia="仿宋_GB2312"/>
          <w:color w:val="000000" w:themeColor="text1"/>
          <w:sz w:val="32"/>
          <w:szCs w:val="32"/>
          <w14:textFill>
            <w14:solidFill>
              <w14:schemeClr w14:val="tx1"/>
            </w14:solidFill>
          </w14:textFill>
        </w:rPr>
        <w:t>优先开展航空培训，大力拓展通航服务市场。积极发展公务出差和公务航空，鼓励低空商务飞行，促进短途运输，提供多样化机型服务，实现常态化运输，发展航空物流。加快发展飞机租赁、航空会展、航空保险等关联产业。支持新兴航空消费，培育航空体育、航空表演、空中观光游览和水上航空等新型业态。扩大公益性服务和生产应用，支持在航空护林、农林喷洒、医疗救援、应急救援等领域应用，推动在环境监测、国土资源勘查、农业生态等领域应用。</w:t>
      </w:r>
    </w:p>
    <w:p>
      <w:pPr>
        <w:ind w:firstLine="643"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——建设通航小镇。</w:t>
      </w:r>
      <w:r>
        <w:rPr>
          <w:rFonts w:hint="eastAsia" w:ascii="仿宋_GB2312" w:hAnsi="华文仿宋" w:eastAsia="仿宋_GB2312"/>
          <w:color w:val="000000" w:themeColor="text1"/>
          <w:sz w:val="32"/>
          <w:szCs w:val="32"/>
          <w14:textFill>
            <w14:solidFill>
              <w14:schemeClr w14:val="tx1"/>
            </w14:solidFill>
          </w14:textFill>
        </w:rPr>
        <w:t>发展与通航相关的飞行器生产、加工、维修、室内飞行体验、航空食品制造等产业，合作筹建通航学院，建设通航小镇。加强航空综合保障能力建设，对接优质航空服务企业，深化运营管理合作，为通航产业提供培训、检测、维修、运营“一站式”服务。引进中航工业等央企和行业50强企业，吸纳社会资本，发展飞机研发、制造、试验，拉动运输、旅游、展演、培训、救援等多种业态，融合“两园一廊”绿色资源，创建全国通用航空示范区。</w:t>
      </w:r>
    </w:p>
    <w:p>
      <w:pPr>
        <w:adjustRightInd w:val="0"/>
        <w:snapToGrid w:val="0"/>
        <w:ind w:firstLine="640" w:firstLineChars="200"/>
        <w:outlineLvl w:val="2"/>
        <w:rPr>
          <w:rFonts w:ascii="Times New Roman" w:hAnsi="Times New Roman" w:eastAsia="楷体"/>
          <w:color w:val="000000" w:themeColor="text1"/>
          <w:sz w:val="32"/>
          <w:szCs w:val="32"/>
          <w14:textFill>
            <w14:solidFill>
              <w14:schemeClr w14:val="tx1"/>
            </w14:solidFill>
          </w14:textFill>
        </w:rPr>
      </w:pPr>
      <w:bookmarkStart w:id="40" w:name="_Toc71192361"/>
      <w:bookmarkStart w:id="41" w:name="_Toc65849359"/>
      <w:r>
        <w:rPr>
          <w:rFonts w:hint="eastAsia" w:ascii="Times New Roman" w:hAnsi="Times New Roman" w:eastAsia="楷体"/>
          <w:color w:val="000000" w:themeColor="text1"/>
          <w:sz w:val="32"/>
          <w:szCs w:val="32"/>
          <w14:textFill>
            <w14:solidFill>
              <w14:schemeClr w14:val="tx1"/>
            </w14:solidFill>
          </w14:textFill>
        </w:rPr>
        <w:t>（三）依托保税物流中心，建设综合保税物流园</w:t>
      </w:r>
      <w:bookmarkEnd w:id="40"/>
      <w:bookmarkEnd w:id="41"/>
    </w:p>
    <w:p>
      <w:pPr>
        <w:ind w:firstLine="643" w:firstLineChars="200"/>
        <w:rPr>
          <w:rFonts w:ascii="仿宋_GB2312" w:hAnsi="华文仿宋" w:eastAsia="仿宋_GB2312"/>
          <w:bCs/>
          <w:color w:val="000000" w:themeColor="text1"/>
          <w:sz w:val="32"/>
          <w:szCs w:val="32"/>
          <w14:textFill>
            <w14:solidFill>
              <w14:schemeClr w14:val="tx1"/>
            </w14:solidFill>
          </w14:textFill>
        </w:rPr>
      </w:pPr>
      <w:r>
        <w:rPr>
          <w:rFonts w:hint="eastAsia" w:ascii="仿宋_GB2312" w:hAnsi="华文仿宋" w:eastAsia="仿宋_GB2312"/>
          <w:b/>
          <w:bCs/>
          <w:color w:val="000000" w:themeColor="text1"/>
          <w:sz w:val="32"/>
          <w:szCs w:val="32"/>
          <w14:textFill>
            <w14:solidFill>
              <w14:schemeClr w14:val="tx1"/>
            </w14:solidFill>
          </w14:textFill>
        </w:rPr>
        <w:t>——打造贸易双循环重要节点。</w:t>
      </w:r>
      <w:r>
        <w:rPr>
          <w:rFonts w:hint="eastAsia" w:ascii="仿宋_GB2312" w:hAnsi="华文仿宋" w:eastAsia="仿宋_GB2312"/>
          <w:bCs/>
          <w:color w:val="000000" w:themeColor="text1"/>
          <w:sz w:val="32"/>
          <w:szCs w:val="32"/>
          <w14:textFill>
            <w14:solidFill>
              <w14:schemeClr w14:val="tx1"/>
            </w14:solidFill>
          </w14:textFill>
        </w:rPr>
        <w:t>依托保税物流中心（B型），发展保税物流；围绕通航机场，发展航空物流；依托高新区，发展冷链物流。立足商丘，辐射豫东、鲁西南，扩大物流服务范围，加快发展制冷产品、果酒食品、花生、麻花、工业部件等特色产品出口业务，推动形成日韩、中亚等特优农产品、生鲜和肉制品、关键零部件、优质消费品集散中心。大力</w:t>
      </w:r>
      <w:r>
        <w:rPr>
          <w:rFonts w:hint="eastAsia" w:ascii="仿宋_GB2312" w:hAnsi="Times New Roman" w:eastAsia="仿宋_GB2312" w:cs="宋体"/>
          <w:color w:val="000000" w:themeColor="text1"/>
          <w:kern w:val="0"/>
          <w:sz w:val="32"/>
          <w:szCs w:val="32"/>
          <w14:textFill>
            <w14:solidFill>
              <w14:schemeClr w14:val="tx1"/>
            </w14:solidFill>
          </w14:textFill>
        </w:rPr>
        <w:t>引入大型国际物流、贸易服务、贸易加工类企业</w:t>
      </w:r>
      <w:r>
        <w:rPr>
          <w:rFonts w:hint="eastAsia" w:ascii="仿宋_GB2312" w:hAnsi="华文仿宋" w:eastAsia="仿宋_GB2312"/>
          <w:bCs/>
          <w:color w:val="000000" w:themeColor="text1"/>
          <w:sz w:val="32"/>
          <w:szCs w:val="32"/>
          <w14:textFill>
            <w14:solidFill>
              <w14:schemeClr w14:val="tx1"/>
            </w14:solidFill>
          </w14:textFill>
        </w:rPr>
        <w:t>和</w:t>
      </w:r>
      <w:r>
        <w:rPr>
          <w:rFonts w:hint="eastAsia" w:ascii="仿宋_GB2312" w:hAnsi="Times New Roman" w:eastAsia="仿宋_GB2312" w:cs="宋体"/>
          <w:color w:val="000000" w:themeColor="text1"/>
          <w:kern w:val="0"/>
          <w:sz w:val="32"/>
          <w:szCs w:val="32"/>
          <w14:textFill>
            <w14:solidFill>
              <w14:schemeClr w14:val="tx1"/>
            </w14:solidFill>
          </w14:textFill>
        </w:rPr>
        <w:t>关联配套企业，吸引跨境电商入驻</w:t>
      </w:r>
      <w:r>
        <w:rPr>
          <w:rFonts w:hint="eastAsia" w:ascii="仿宋_GB2312" w:hAnsi="华文仿宋" w:eastAsia="仿宋_GB2312"/>
          <w:bCs/>
          <w:color w:val="000000" w:themeColor="text1"/>
          <w:sz w:val="32"/>
          <w:szCs w:val="32"/>
          <w14:textFill>
            <w14:solidFill>
              <w14:schemeClr w14:val="tx1"/>
            </w14:solidFill>
          </w14:textFill>
        </w:rPr>
        <w:t>。加强与郑州、连云港、商丘（申建中）等综合保税区协作，推动公铁海一体化通关联运，打造贸易双循环重要节点。</w:t>
      </w:r>
    </w:p>
    <w:p>
      <w:pPr>
        <w:ind w:firstLine="643" w:firstLineChars="200"/>
        <w:rPr>
          <w:rFonts w:ascii="仿宋_GB2312" w:hAnsi="Times New Roman" w:eastAsia="仿宋_GB2312" w:cs="宋体"/>
          <w:color w:val="000000" w:themeColor="text1"/>
          <w:kern w:val="0"/>
          <w:sz w:val="32"/>
          <w:szCs w:val="32"/>
          <w14:textFill>
            <w14:solidFill>
              <w14:schemeClr w14:val="tx1"/>
            </w14:solidFill>
          </w14:textFill>
        </w:rPr>
      </w:pPr>
      <w:r>
        <w:rPr>
          <w:rFonts w:hint="eastAsia" w:ascii="仿宋_GB2312" w:hAnsi="华文仿宋" w:eastAsia="仿宋_GB2312"/>
          <w:b/>
          <w:bCs/>
          <w:color w:val="000000" w:themeColor="text1"/>
          <w:sz w:val="32"/>
          <w:szCs w:val="32"/>
          <w14:textFill>
            <w14:solidFill>
              <w14:schemeClr w14:val="tx1"/>
            </w14:solidFill>
          </w14:textFill>
        </w:rPr>
        <w:t>——提升物流服务能力。</w:t>
      </w:r>
      <w:r>
        <w:rPr>
          <w:rFonts w:hint="eastAsia" w:ascii="仿宋_GB2312" w:hAnsi="Times New Roman" w:eastAsia="仿宋_GB2312" w:cs="宋体"/>
          <w:color w:val="000000" w:themeColor="text1"/>
          <w:kern w:val="0"/>
          <w:sz w:val="32"/>
          <w:szCs w:val="32"/>
          <w14:textFill>
            <w14:solidFill>
              <w14:schemeClr w14:val="tx1"/>
            </w14:solidFill>
          </w14:textFill>
        </w:rPr>
        <w:t>建设全覆盖、多层次流通体系，巩固深化综合物流园区-物流次中心（北关、人和、孙六、龙塘）-物流场站（乡、镇、街道）-物流节点（中心村、重点村）的流通格局，加快仓储运输、物流分拨、检验检疫设施建设。建设北关、人和商贸物流小镇，繁荣西部和北部商贸流通市场。完善县城冷链仓储配送中心、各乡镇冷链物流农产品交易市场、村（社区）冷库及加工设施建设。完善供销社体制机制，加快建成服务农民生产生活的综合平台。提升中心城区、乡镇、农村快速通道网络功能，提升农村公路技术等级。谋划建设专用铁路线、环城高速、城际铁路等，发展公铁多式联运。全县物流业增加值达到6亿元，年均增长13%，第三方物流比重明显提高。</w:t>
      </w:r>
    </w:p>
    <w:p>
      <w:pPr>
        <w:ind w:firstLine="643" w:firstLineChars="200"/>
        <w:rPr>
          <w:rFonts w:ascii="仿宋_GB2312" w:hAnsi="Times New Roman" w:eastAsia="仿宋_GB2312" w:cs="宋体"/>
          <w:color w:val="000000" w:themeColor="text1"/>
          <w:kern w:val="0"/>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——增强电子商务实效。</w:t>
      </w:r>
      <w:r>
        <w:rPr>
          <w:rFonts w:hint="eastAsia" w:ascii="仿宋_GB2312" w:hAnsi="Times New Roman" w:eastAsia="仿宋_GB2312" w:cs="宋体"/>
          <w:color w:val="000000" w:themeColor="text1"/>
          <w:kern w:val="0"/>
          <w:sz w:val="32"/>
          <w:szCs w:val="32"/>
          <w14:textFill>
            <w14:solidFill>
              <w14:schemeClr w14:val="tx1"/>
            </w14:solidFill>
          </w14:textFill>
        </w:rPr>
        <w:t>加大村级电商综合服务站点建设，实现村级电商及物流快递服务全覆盖。建设运营好民权原产地官方旗舰店等上行渠道，拓宽本县特优农产品、食品、画虎艺术品等网络销售空间。加强电商就业创业培训，结合地域产品和特色，培育本地电商品牌。促进电商、跨境电商、快递、保税物流融合发展，建设智慧物流，提升物流效率。</w:t>
      </w:r>
    </w:p>
    <w:p>
      <w:pPr>
        <w:ind w:firstLine="643" w:firstLineChars="200"/>
        <w:rPr>
          <w:rFonts w:ascii="仿宋_GB2312" w:hAnsi="Times New Roman" w:eastAsia="仿宋_GB2312" w:cs="宋体"/>
          <w:color w:val="000000" w:themeColor="text1"/>
          <w:kern w:val="0"/>
          <w:sz w:val="32"/>
          <w:szCs w:val="32"/>
          <w14:textFill>
            <w14:solidFill>
              <w14:schemeClr w14:val="tx1"/>
            </w14:solidFill>
          </w14:textFill>
        </w:rPr>
      </w:pPr>
      <w:r>
        <w:rPr>
          <w:rFonts w:hint="eastAsia" w:ascii="仿宋_GB2312" w:hAnsi="Times New Roman" w:eastAsia="仿宋_GB2312" w:cs="宋体"/>
          <w:b/>
          <w:color w:val="000000" w:themeColor="text1"/>
          <w:kern w:val="0"/>
          <w:sz w:val="32"/>
          <w:szCs w:val="32"/>
          <w14:textFill>
            <w14:solidFill>
              <w14:schemeClr w14:val="tx1"/>
            </w14:solidFill>
          </w14:textFill>
        </w:rPr>
        <w:t>——争创民权综合保税区。</w:t>
      </w:r>
      <w:r>
        <w:rPr>
          <w:rFonts w:hint="eastAsia" w:ascii="仿宋_GB2312" w:hAnsi="Times New Roman" w:eastAsia="仿宋_GB2312" w:cs="宋体"/>
          <w:color w:val="000000" w:themeColor="text1"/>
          <w:kern w:val="0"/>
          <w:sz w:val="32"/>
          <w:szCs w:val="32"/>
          <w14:textFill>
            <w14:solidFill>
              <w14:schemeClr w14:val="tx1"/>
            </w14:solidFill>
          </w14:textFill>
        </w:rPr>
        <w:t>依托海关总署、阿里巴巴帮扶优势，发挥保税物流中心功能区作用，培育进口肉类、海鲜、果品及酒类等贸易和加工制造业态。制定完善支持发展跨境电商政策，大力推进跨境电商孵化中心建设，提高跨境电商“买全球、卖全球”质量，为争创民权综合保税区创造条件。预留发展空间，吸引加工贸易型产业入驻，促使商贸型物流中心向工贸型园区转变，适时申报综合保税区。</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napToGrid w:val="0"/>
              <w:rPr>
                <w:rFonts w:ascii="宋体" w:hAnsi="宋体"/>
                <w:bCs/>
                <w:color w:val="000000" w:themeColor="text1"/>
                <w:szCs w:val="21"/>
                <w14:textFill>
                  <w14:solidFill>
                    <w14:schemeClr w14:val="tx1"/>
                  </w14:solidFill>
                </w14:textFill>
              </w:rPr>
            </w:pPr>
            <w:r>
              <w:rPr>
                <w:rFonts w:hint="eastAsia" w:ascii="Times New Roman" w:hAnsi="Times New Roman" w:eastAsia="黑体"/>
                <w:bCs/>
                <w:color w:val="000000" w:themeColor="text1"/>
                <w:sz w:val="24"/>
                <w:szCs w:val="24"/>
                <w14:textFill>
                  <w14:solidFill>
                    <w14:schemeClr w14:val="tx1"/>
                  </w14:solidFill>
                </w14:textFill>
              </w:rPr>
              <w:t>专栏3-2：物流产业项目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ind w:firstLine="422"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b/>
                <w:color w:val="000000" w:themeColor="text1"/>
                <w:szCs w:val="21"/>
                <w14:textFill>
                  <w14:solidFill>
                    <w14:schemeClr w14:val="tx1"/>
                  </w14:solidFill>
                </w14:textFill>
              </w:rPr>
              <w:t>保税物流中心建设</w:t>
            </w:r>
            <w:r>
              <w:rPr>
                <w:rFonts w:hint="eastAsia" w:ascii="Times New Roman" w:hAnsi="Times New Roman"/>
                <w:color w:val="000000" w:themeColor="text1"/>
                <w:szCs w:val="21"/>
                <w14:textFill>
                  <w14:solidFill>
                    <w14:schemeClr w14:val="tx1"/>
                  </w14:solidFill>
                </w14:textFill>
              </w:rPr>
              <w:t>：1600亩保税中心建设运营，引入10家以上大型国际物流标杆企业、贸易服务企业、加工贸易企业，100家关联企业落户，贸易额达到30亿元以上。争取中国物流公司河南大数据冷链基地项目落地。稳慎推动高标仓建设，成熟一批建设一批。</w:t>
            </w:r>
          </w:p>
          <w:p>
            <w:pPr>
              <w:ind w:firstLine="422"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b/>
                <w:color w:val="000000" w:themeColor="text1"/>
                <w:szCs w:val="21"/>
                <w14:textFill>
                  <w14:solidFill>
                    <w14:schemeClr w14:val="tx1"/>
                  </w14:solidFill>
                </w14:textFill>
              </w:rPr>
              <w:t>新农物流和农贸市场建设</w:t>
            </w:r>
            <w:r>
              <w:rPr>
                <w:rFonts w:hint="eastAsia" w:ascii="Times New Roman" w:hAnsi="Times New Roman"/>
                <w:color w:val="000000" w:themeColor="text1"/>
                <w:szCs w:val="21"/>
                <w14:textFill>
                  <w14:solidFill>
                    <w14:schemeClr w14:val="tx1"/>
                  </w14:solidFill>
                </w14:textFill>
              </w:rPr>
              <w:t>：投资10亿元，建设三个功能区，形成名优特色农产品、食品区域性流通中心。实现年交易额20亿元，利税6000万元，带动民权及周边县域种植、养殖和农副产品加工业。</w:t>
            </w:r>
          </w:p>
          <w:p>
            <w:pPr>
              <w:ind w:firstLine="422"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b/>
                <w:color w:val="000000" w:themeColor="text1"/>
                <w:szCs w:val="21"/>
                <w14:textFill>
                  <w14:solidFill>
                    <w14:schemeClr w14:val="tx1"/>
                  </w14:solidFill>
                </w14:textFill>
              </w:rPr>
              <w:t>跨境电商产业园</w:t>
            </w:r>
            <w:r>
              <w:rPr>
                <w:rFonts w:hint="eastAsia" w:ascii="Times New Roman" w:hAnsi="Times New Roman"/>
                <w:color w:val="000000" w:themeColor="text1"/>
                <w:szCs w:val="21"/>
                <w14:textFill>
                  <w14:solidFill>
                    <w14:schemeClr w14:val="tx1"/>
                  </w14:solidFill>
                </w14:textFill>
              </w:rPr>
              <w:t>：引进国内外知名电商企业，发展电子商务和信息服务，培育50家本地跨境电商企业，培养1000名跨境电商人才，培训6000名电商从业人员。拓宽地域名优特色产品网络上行渠道。形成电商、跨境电商企业集群。</w:t>
            </w:r>
          </w:p>
          <w:p>
            <w:pPr>
              <w:ind w:firstLine="422"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b/>
                <w:color w:val="000000" w:themeColor="text1"/>
                <w:szCs w:val="21"/>
                <w14:textFill>
                  <w14:solidFill>
                    <w14:schemeClr w14:val="tx1"/>
                  </w14:solidFill>
                </w14:textFill>
              </w:rPr>
              <w:t>智慧物流工程</w:t>
            </w:r>
            <w:r>
              <w:rPr>
                <w:rFonts w:hint="eastAsia" w:ascii="Times New Roman" w:hAnsi="Times New Roman"/>
                <w:color w:val="000000" w:themeColor="text1"/>
                <w:szCs w:val="21"/>
                <w14:textFill>
                  <w14:solidFill>
                    <w14:schemeClr w14:val="tx1"/>
                  </w14:solidFill>
                </w14:textFill>
              </w:rPr>
              <w:t>：建设物流公共信息、综合交通运输信息、物流园区信息、企业物流信息四大系统，包含公共配送中心、智能快件箱等配套设施，提升物流效率。</w:t>
            </w:r>
          </w:p>
          <w:p>
            <w:pPr>
              <w:ind w:firstLine="422"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b/>
                <w:color w:val="000000" w:themeColor="text1"/>
                <w:szCs w:val="21"/>
                <w14:textFill>
                  <w14:solidFill>
                    <w14:schemeClr w14:val="tx1"/>
                  </w14:solidFill>
                </w14:textFill>
              </w:rPr>
              <w:t>供销社为农服务平台：</w:t>
            </w:r>
            <w:r>
              <w:rPr>
                <w:rFonts w:hint="eastAsia" w:ascii="Times New Roman" w:hAnsi="Times New Roman"/>
                <w:color w:val="000000" w:themeColor="text1"/>
                <w:szCs w:val="21"/>
                <w14:textFill>
                  <w14:solidFill>
                    <w14:schemeClr w14:val="tx1"/>
                  </w14:solidFill>
                </w14:textFill>
              </w:rPr>
              <w:t>全县为农服务中心覆盖70%行政村，土地托管（流转）服务面积达到25万亩，村级综合服务社提质扩面，行政村覆盖率达到80%，兴办庄稼医院，开展“智慧农资”服务。</w:t>
            </w:r>
          </w:p>
          <w:p>
            <w:pPr>
              <w:ind w:firstLine="422" w:firstLineChars="200"/>
              <w:rPr>
                <w:rFonts w:ascii="宋体" w:hAnsi="宋体"/>
                <w:bCs/>
                <w:color w:val="000000" w:themeColor="text1"/>
                <w:szCs w:val="21"/>
                <w14:textFill>
                  <w14:solidFill>
                    <w14:schemeClr w14:val="tx1"/>
                  </w14:solidFill>
                </w14:textFill>
              </w:rPr>
            </w:pPr>
            <w:r>
              <w:rPr>
                <w:rFonts w:hint="eastAsia" w:ascii="Times New Roman" w:hAnsi="Times New Roman"/>
                <w:b/>
                <w:color w:val="000000" w:themeColor="text1"/>
                <w:szCs w:val="21"/>
                <w14:textFill>
                  <w14:solidFill>
                    <w14:schemeClr w14:val="tx1"/>
                  </w14:solidFill>
                </w14:textFill>
              </w:rPr>
              <w:t>农、林产品交易市场</w:t>
            </w:r>
            <w:r>
              <w:rPr>
                <w:rFonts w:hint="eastAsia" w:ascii="Times New Roman" w:hAnsi="Times New Roman"/>
                <w:color w:val="000000" w:themeColor="text1"/>
                <w:szCs w:val="21"/>
                <w14:textFill>
                  <w14:solidFill>
                    <w14:schemeClr w14:val="tx1"/>
                  </w14:solidFill>
                </w14:textFill>
              </w:rPr>
              <w:t>：林七乡农产品专业市场建设，活跃周边农业经济和商贸经济。伯党乡苗木交易市场。</w:t>
            </w:r>
          </w:p>
        </w:tc>
      </w:tr>
    </w:tbl>
    <w:p>
      <w:pPr>
        <w:adjustRightInd w:val="0"/>
        <w:snapToGrid w:val="0"/>
        <w:ind w:firstLine="640" w:firstLineChars="200"/>
        <w:outlineLvl w:val="2"/>
        <w:rPr>
          <w:rFonts w:ascii="Times New Roman" w:hAnsi="Times New Roman" w:eastAsia="楷体"/>
          <w:color w:val="000000" w:themeColor="text1"/>
          <w:sz w:val="32"/>
          <w:szCs w:val="32"/>
          <w14:textFill>
            <w14:solidFill>
              <w14:schemeClr w14:val="tx1"/>
            </w14:solidFill>
          </w14:textFill>
        </w:rPr>
      </w:pPr>
      <w:bookmarkStart w:id="42" w:name="_Toc71192362"/>
      <w:bookmarkStart w:id="43" w:name="_Toc65849360"/>
      <w:r>
        <w:rPr>
          <w:rFonts w:hint="eastAsia" w:ascii="Times New Roman" w:hAnsi="Times New Roman" w:eastAsia="楷体"/>
          <w:color w:val="000000" w:themeColor="text1"/>
          <w:sz w:val="32"/>
          <w:szCs w:val="32"/>
          <w14:textFill>
            <w14:solidFill>
              <w14:schemeClr w14:val="tx1"/>
            </w14:solidFill>
          </w14:textFill>
        </w:rPr>
        <w:t>（四）加快建设静脉产业园</w:t>
      </w:r>
      <w:bookmarkEnd w:id="42"/>
      <w:bookmarkEnd w:id="43"/>
    </w:p>
    <w:p>
      <w:pPr>
        <w:ind w:firstLine="643"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——建设好静脉产业园。</w:t>
      </w:r>
      <w:r>
        <w:rPr>
          <w:rFonts w:hint="eastAsia" w:ascii="仿宋_GB2312" w:hAnsi="华文仿宋" w:eastAsia="仿宋_GB2312"/>
          <w:color w:val="000000" w:themeColor="text1"/>
          <w:sz w:val="32"/>
          <w:szCs w:val="32"/>
          <w14:textFill>
            <w14:solidFill>
              <w14:schemeClr w14:val="tx1"/>
            </w14:solidFill>
          </w14:textFill>
        </w:rPr>
        <w:t>根据近期、远期服务半径和市场容量，合理定位园区细分产业类型和建设规模。优化功能分区，形成板块分工、物质分流布局结构。高质量推动项目落地，分期建设，压茬推进，成熟一项推进一项，促进细分专业性园区向综合类静脉产业示范区转变。</w:t>
      </w:r>
    </w:p>
    <w:p>
      <w:pPr>
        <w:ind w:firstLine="643"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——积极稳妥导入静脉产业。</w:t>
      </w:r>
      <w:r>
        <w:rPr>
          <w:rFonts w:hint="eastAsia" w:ascii="仿宋_GB2312" w:hAnsi="华文仿宋" w:eastAsia="仿宋_GB2312"/>
          <w:color w:val="000000" w:themeColor="text1"/>
          <w:sz w:val="32"/>
          <w:szCs w:val="32"/>
          <w14:textFill>
            <w14:solidFill>
              <w14:schemeClr w14:val="tx1"/>
            </w14:solidFill>
          </w14:textFill>
        </w:rPr>
        <w:t>推进医疗废物应急处置中心和病死畜禽无害化处置项目建设。选择先进适用技术，在有效控制烟气、飞灰、废水、有机污染物等二次污染、实现清洁运行的条件下，建设垃圾焚烧发电项目。统筹生活垃圾、餐厨垃圾和建筑垃圾处理，优化配置不同类型处理工艺，形成一体化项目群，实现各种垃圾在园区内有效处理，提高资源循环效率。推动报废汽车、医疗废物、废旧制冷电器、废旧塑料、废钢、工业固废、电池等资源回收转运拆解利用产业集聚。“十四五”末，实现日处理生活垃圾600-800吨，日处理病死畜禽10吨，日处理餐厨垃圾50吨，年处理建筑垃圾100万吨，产生直接经济效益近4000万元，发电量1.32亿度，同时产生活性炭、燃料油、裂解气、有机肥料等间接效益。</w:t>
      </w:r>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44" w:name="_Toc65849361"/>
      <w:bookmarkStart w:id="45" w:name="_Toc63329736"/>
      <w:bookmarkStart w:id="46" w:name="_Toc71192363"/>
      <w:r>
        <w:rPr>
          <w:rFonts w:hint="eastAsia" w:ascii="Times New Roman" w:hAnsi="Times New Roman" w:eastAsia="楷体"/>
          <w:bCs w:val="0"/>
          <w:color w:val="000000" w:themeColor="text1"/>
          <w:szCs w:val="20"/>
          <w14:textFill>
            <w14:solidFill>
              <w14:schemeClr w14:val="tx1"/>
            </w14:solidFill>
          </w14:textFill>
        </w:rPr>
        <w:t>第三节</w:t>
      </w:r>
      <w:bookmarkEnd w:id="44"/>
      <w:bookmarkEnd w:id="45"/>
      <w:r>
        <w:rPr>
          <w:rFonts w:hint="eastAsia" w:ascii="Times New Roman" w:hAnsi="Times New Roman" w:eastAsia="楷体"/>
          <w:bCs w:val="0"/>
          <w:color w:val="000000" w:themeColor="text1"/>
          <w:szCs w:val="20"/>
          <w14:textFill>
            <w14:solidFill>
              <w14:schemeClr w14:val="tx1"/>
            </w14:solidFill>
          </w14:textFill>
        </w:rPr>
        <w:t xml:space="preserve"> 加快商务服务产业园建设</w:t>
      </w:r>
      <w:bookmarkEnd w:id="46"/>
    </w:p>
    <w:p>
      <w:pPr>
        <w:ind w:firstLine="640"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依托高新区和主城区，提升特色商业区生产服务、生活服务能级，以“一核四区”为中心，升级完善各功能分区。“十四五”末，</w:t>
      </w:r>
      <w:r>
        <w:rPr>
          <w:rFonts w:hint="eastAsia" w:ascii="仿宋_GB2312" w:hAnsi="华文仿宋" w:eastAsia="仿宋_GB2312"/>
          <w:bCs/>
          <w:color w:val="000000" w:themeColor="text1"/>
          <w:sz w:val="32"/>
          <w:szCs w:val="32"/>
          <w14:textFill>
            <w14:solidFill>
              <w14:schemeClr w14:val="tx1"/>
            </w14:solidFill>
          </w14:textFill>
        </w:rPr>
        <w:t>实现营业收入200亿元，从业4万人，固定资产投资稳步提升，初步打造成为主导产业突出、多元业态共存、功能复合多样的商务服务产业园。</w:t>
      </w:r>
    </w:p>
    <w:p>
      <w:pPr>
        <w:ind w:firstLine="640" w:firstLineChars="200"/>
        <w:rPr>
          <w:rFonts w:ascii="仿宋_GB2312" w:hAnsi="华文仿宋" w:eastAsia="仿宋_GB2312"/>
          <w:color w:val="000000" w:themeColor="text1"/>
          <w:sz w:val="32"/>
          <w:szCs w:val="32"/>
          <w:lang w:bidi="en-US"/>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构建高效型服务业生态，推动制造业和服务业深度融合，推动城区各板块功能互补，形成</w:t>
      </w:r>
      <w:r>
        <w:rPr>
          <w:rFonts w:hint="eastAsia" w:ascii="仿宋_GB2312" w:hAnsi="华文仿宋" w:eastAsia="仿宋_GB2312"/>
          <w:color w:val="000000" w:themeColor="text1"/>
          <w:sz w:val="32"/>
          <w:szCs w:val="32"/>
          <w:lang w:bidi="en-US"/>
          <w14:textFill>
            <w14:solidFill>
              <w14:schemeClr w14:val="tx1"/>
            </w14:solidFill>
          </w14:textFill>
        </w:rPr>
        <w:t>以会展经济、商务服务为主导，集聚红酒经济、电子商务、总部经济、创新孵化和大数据等业态的区域性商务服务中心。</w:t>
      </w:r>
    </w:p>
    <w:p>
      <w:pPr>
        <w:ind w:firstLine="643" w:firstLineChars="200"/>
        <w:rPr>
          <w:rFonts w:ascii="仿宋_GB2312" w:hAnsi="华文仿宋" w:eastAsia="仿宋_GB2312"/>
          <w:color w:val="000000" w:themeColor="text1"/>
          <w:sz w:val="32"/>
          <w:szCs w:val="32"/>
          <w:lang w:bidi="en-US"/>
          <w14:textFill>
            <w14:solidFill>
              <w14:schemeClr w14:val="tx1"/>
            </w14:solidFill>
          </w14:textFill>
        </w:rPr>
      </w:pPr>
      <w:r>
        <w:rPr>
          <w:rFonts w:hint="eastAsia" w:ascii="仿宋_GB2312" w:hAnsi="华文仿宋" w:eastAsia="仿宋_GB2312"/>
          <w:b/>
          <w:bCs/>
          <w:color w:val="000000" w:themeColor="text1"/>
          <w:sz w:val="32"/>
          <w:szCs w:val="32"/>
          <w:lang w:bidi="en-US"/>
          <w14:textFill>
            <w14:solidFill>
              <w14:schemeClr w14:val="tx1"/>
            </w14:solidFill>
          </w14:textFill>
        </w:rPr>
        <w:t>——会展经济。</w:t>
      </w:r>
      <w:r>
        <w:rPr>
          <w:rFonts w:hint="eastAsia" w:ascii="仿宋_GB2312" w:hAnsi="华文仿宋" w:eastAsia="仿宋_GB2312"/>
          <w:color w:val="000000" w:themeColor="text1"/>
          <w:sz w:val="32"/>
          <w:szCs w:val="32"/>
          <w:lang w:bidi="en-US"/>
          <w14:textFill>
            <w14:solidFill>
              <w14:schemeClr w14:val="tx1"/>
            </w14:solidFill>
          </w14:textFill>
        </w:rPr>
        <w:t>围绕提升“民权制冷”品牌知名度和影响力，打造制冷家电产品市场服务高端平台，全面提升冷博会品牌影响力。招引更多大型展会在民权举办，推动葡萄酒等绿色食品会展、航空会展、文化会展、物流会展。推动会展中心委托经营和冷博会商业化进程。筹划建设梦蝶会展中心三期，打造梦蝶会展品牌，繁荣民权会展经济。</w:t>
      </w:r>
    </w:p>
    <w:p>
      <w:pPr>
        <w:ind w:firstLine="643" w:firstLineChars="200"/>
        <w:rPr>
          <w:rFonts w:ascii="仿宋_GB2312" w:hAnsi="华文仿宋" w:eastAsia="仿宋_GB2312"/>
          <w:color w:val="000000" w:themeColor="text1"/>
          <w:sz w:val="32"/>
          <w:szCs w:val="32"/>
          <w:lang w:bidi="en-US"/>
          <w14:textFill>
            <w14:solidFill>
              <w14:schemeClr w14:val="tx1"/>
            </w14:solidFill>
          </w14:textFill>
        </w:rPr>
      </w:pPr>
      <w:r>
        <w:rPr>
          <w:rFonts w:hint="eastAsia" w:ascii="仿宋_GB2312" w:hAnsi="华文仿宋" w:eastAsia="仿宋_GB2312"/>
          <w:b/>
          <w:bCs/>
          <w:color w:val="000000" w:themeColor="text1"/>
          <w:sz w:val="32"/>
          <w:szCs w:val="32"/>
          <w:lang w:bidi="en-US"/>
          <w14:textFill>
            <w14:solidFill>
              <w14:schemeClr w14:val="tx1"/>
            </w14:solidFill>
          </w14:textFill>
        </w:rPr>
        <w:t>——红酒经济。</w:t>
      </w:r>
      <w:r>
        <w:rPr>
          <w:rFonts w:hint="eastAsia" w:ascii="仿宋_GB2312" w:hAnsi="华文仿宋" w:eastAsia="仿宋_GB2312"/>
          <w:color w:val="000000" w:themeColor="text1"/>
          <w:sz w:val="32"/>
          <w:szCs w:val="32"/>
          <w:lang w:bidi="en-US"/>
          <w14:textFill>
            <w14:solidFill>
              <w14:schemeClr w14:val="tx1"/>
            </w14:solidFill>
          </w14:textFill>
        </w:rPr>
        <w:t>充分挖掘民权葡萄酒文化内涵，力争引进、培育一批葡萄酒销售、葡萄酒文化体验企业和大型酒堡入驻，壮大葡萄酒产业链条，重振民权葡萄酒辉煌。</w:t>
      </w:r>
    </w:p>
    <w:p>
      <w:pPr>
        <w:ind w:firstLine="643" w:firstLineChars="200"/>
        <w:rPr>
          <w:rFonts w:ascii="仿宋_GB2312" w:hAnsi="华文仿宋" w:eastAsia="仿宋_GB2312"/>
          <w:color w:val="000000" w:themeColor="text1"/>
          <w:sz w:val="32"/>
          <w:szCs w:val="32"/>
          <w:lang w:bidi="en-US"/>
          <w14:textFill>
            <w14:solidFill>
              <w14:schemeClr w14:val="tx1"/>
            </w14:solidFill>
          </w14:textFill>
        </w:rPr>
      </w:pPr>
      <w:r>
        <w:rPr>
          <w:rFonts w:hint="eastAsia" w:ascii="仿宋_GB2312" w:hAnsi="华文仿宋" w:eastAsia="仿宋_GB2312"/>
          <w:b/>
          <w:bCs/>
          <w:color w:val="000000" w:themeColor="text1"/>
          <w:sz w:val="32"/>
          <w:szCs w:val="32"/>
          <w:lang w:bidi="en-US"/>
          <w14:textFill>
            <w14:solidFill>
              <w14:schemeClr w14:val="tx1"/>
            </w14:solidFill>
          </w14:textFill>
        </w:rPr>
        <w:t>——咨询设计。</w:t>
      </w:r>
      <w:r>
        <w:rPr>
          <w:rFonts w:hint="eastAsia" w:ascii="仿宋_GB2312" w:hAnsi="华文仿宋" w:eastAsia="仿宋_GB2312"/>
          <w:color w:val="000000" w:themeColor="text1"/>
          <w:sz w:val="32"/>
          <w:szCs w:val="32"/>
          <w:lang w:bidi="en-US"/>
          <w14:textFill>
            <w14:solidFill>
              <w14:schemeClr w14:val="tx1"/>
            </w14:solidFill>
          </w14:textFill>
        </w:rPr>
        <w:t>围绕民权县“一区四园”、产业转型升级、质量品牌建设等服务需求，培育和引进策划、培训、广告、设计、安装、租赁、展台搭建、材料制作、商务服务等配套项目，全面提升核心产业竞争力。</w:t>
      </w:r>
    </w:p>
    <w:p>
      <w:pPr>
        <w:ind w:firstLine="643" w:firstLineChars="200"/>
        <w:rPr>
          <w:rFonts w:ascii="仿宋_GB2312" w:hAnsi="华文仿宋" w:eastAsia="仿宋_GB2312"/>
          <w:color w:val="000000" w:themeColor="text1"/>
          <w:sz w:val="32"/>
          <w:szCs w:val="32"/>
          <w:lang w:bidi="en-US"/>
          <w14:textFill>
            <w14:solidFill>
              <w14:schemeClr w14:val="tx1"/>
            </w14:solidFill>
          </w14:textFill>
        </w:rPr>
      </w:pPr>
      <w:r>
        <w:rPr>
          <w:rFonts w:hint="eastAsia" w:ascii="仿宋_GB2312" w:hAnsi="华文仿宋" w:eastAsia="仿宋_GB2312"/>
          <w:b/>
          <w:bCs/>
          <w:color w:val="000000" w:themeColor="text1"/>
          <w:sz w:val="32"/>
          <w:szCs w:val="32"/>
          <w:lang w:bidi="en-US"/>
          <w14:textFill>
            <w14:solidFill>
              <w14:schemeClr w14:val="tx1"/>
            </w14:solidFill>
          </w14:textFill>
        </w:rPr>
        <w:t>——总部经济。</w:t>
      </w:r>
      <w:r>
        <w:rPr>
          <w:rFonts w:hint="eastAsia" w:ascii="仿宋_GB2312" w:hAnsi="华文仿宋" w:eastAsia="仿宋_GB2312"/>
          <w:color w:val="000000" w:themeColor="text1"/>
          <w:sz w:val="32"/>
          <w:szCs w:val="32"/>
          <w:lang w:bidi="en-US"/>
          <w14:textFill>
            <w14:solidFill>
              <w14:schemeClr w14:val="tx1"/>
            </w14:solidFill>
          </w14:textFill>
        </w:rPr>
        <w:t>在壮大现有紫金保险代理、上白建筑劳务、大象传媒等总部企业的同时，积极吸引更多企业总部入驻。推进会展特色企业总部入驻和集聚，支持制冷装备、葡萄酒等本地企业通过收购、兼并、控股、参股、联合等形式组建竞争力强的总部企业集团。</w:t>
      </w:r>
    </w:p>
    <w:p>
      <w:pPr>
        <w:ind w:firstLine="643" w:firstLineChars="200"/>
        <w:rPr>
          <w:rFonts w:ascii="仿宋_GB2312" w:hAnsi="华文仿宋" w:eastAsia="仿宋_GB2312"/>
          <w:color w:val="000000" w:themeColor="text1"/>
          <w:sz w:val="32"/>
          <w:szCs w:val="32"/>
          <w:lang w:bidi="en-US"/>
          <w14:textFill>
            <w14:solidFill>
              <w14:schemeClr w14:val="tx1"/>
            </w14:solidFill>
          </w14:textFill>
        </w:rPr>
      </w:pPr>
      <w:r>
        <w:rPr>
          <w:rFonts w:hint="eastAsia" w:ascii="仿宋_GB2312" w:hAnsi="华文仿宋" w:eastAsia="仿宋_GB2312"/>
          <w:b/>
          <w:bCs/>
          <w:color w:val="000000" w:themeColor="text1"/>
          <w:sz w:val="32"/>
          <w:szCs w:val="32"/>
          <w:lang w:bidi="en-US"/>
          <w14:textFill>
            <w14:solidFill>
              <w14:schemeClr w14:val="tx1"/>
            </w14:solidFill>
          </w14:textFill>
        </w:rPr>
        <w:t>——创新孵化。</w:t>
      </w:r>
      <w:r>
        <w:rPr>
          <w:rFonts w:hint="eastAsia" w:ascii="仿宋_GB2312" w:hAnsi="华文仿宋" w:eastAsia="仿宋_GB2312"/>
          <w:color w:val="000000" w:themeColor="text1"/>
          <w:sz w:val="32"/>
          <w:szCs w:val="32"/>
          <w:lang w:bidi="en-US"/>
          <w14:textFill>
            <w14:solidFill>
              <w14:schemeClr w14:val="tx1"/>
            </w14:solidFill>
          </w14:textFill>
        </w:rPr>
        <w:t>加大创新创业培育力度，推动凯立达孵化基地、双创产业园建设，结合民权制冷学院提升发展，建设制冷实训基地、星创天地、智造实训基地、电子商务电教融合基地等项目，提升创业孵化服务能力，争创省级和国家级“双创基地”。</w:t>
      </w:r>
    </w:p>
    <w:p>
      <w:pPr>
        <w:ind w:firstLine="643" w:firstLineChars="200"/>
        <w:rPr>
          <w:rFonts w:ascii="仿宋_GB2312" w:hAnsi="华文仿宋" w:eastAsia="仿宋_GB2312"/>
          <w:color w:val="000000" w:themeColor="text1"/>
          <w:sz w:val="32"/>
          <w:szCs w:val="32"/>
          <w:lang w:bidi="en-US"/>
          <w14:textFill>
            <w14:solidFill>
              <w14:schemeClr w14:val="tx1"/>
            </w14:solidFill>
          </w14:textFill>
        </w:rPr>
      </w:pPr>
      <w:r>
        <w:rPr>
          <w:rFonts w:hint="eastAsia" w:ascii="仿宋_GB2312" w:hAnsi="华文仿宋" w:eastAsia="仿宋_GB2312"/>
          <w:b/>
          <w:bCs/>
          <w:color w:val="000000" w:themeColor="text1"/>
          <w:sz w:val="32"/>
          <w:szCs w:val="32"/>
          <w:lang w:bidi="en-US"/>
          <w14:textFill>
            <w14:solidFill>
              <w14:schemeClr w14:val="tx1"/>
            </w14:solidFill>
          </w14:textFill>
        </w:rPr>
        <w:t>——大数据。</w:t>
      </w:r>
      <w:r>
        <w:rPr>
          <w:rFonts w:hint="eastAsia" w:ascii="仿宋_GB2312" w:hAnsi="华文仿宋" w:eastAsia="仿宋_GB2312"/>
          <w:color w:val="000000" w:themeColor="text1"/>
          <w:sz w:val="32"/>
          <w:szCs w:val="32"/>
          <w:lang w:bidi="en-US"/>
          <w14:textFill>
            <w14:solidFill>
              <w14:schemeClr w14:val="tx1"/>
            </w14:solidFill>
          </w14:textFill>
        </w:rPr>
        <w:t>加快推动大数据产业园、智慧城市、智慧交通、智慧教育、智慧社区建设，集聚发展大数据应用、电子信息、软件开发、5G服务等产业。</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34"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仿宋_GB2312"/>
                <w:color w:val="000000" w:themeColor="text1"/>
                <w:szCs w:val="21"/>
                <w14:textFill>
                  <w14:solidFill>
                    <w14:schemeClr w14:val="tx1"/>
                  </w14:solidFill>
                </w14:textFill>
              </w:rPr>
            </w:pPr>
            <w:r>
              <w:rPr>
                <w:rFonts w:hint="eastAsia" w:ascii="Times New Roman" w:hAnsi="Times New Roman" w:eastAsia="黑体"/>
                <w:bCs/>
                <w:color w:val="000000" w:themeColor="text1"/>
                <w:sz w:val="24"/>
                <w:szCs w:val="24"/>
                <w14:textFill>
                  <w14:solidFill>
                    <w14:schemeClr w14:val="tx1"/>
                  </w14:solidFill>
                </w14:textFill>
              </w:rPr>
              <w:t>专栏3-3：特色商业区转型升级重点项目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34" w:type="dxa"/>
            <w:tcBorders>
              <w:top w:val="single" w:color="auto" w:sz="4" w:space="0"/>
              <w:left w:val="single" w:color="auto" w:sz="4" w:space="0"/>
              <w:bottom w:val="single" w:color="auto" w:sz="4" w:space="0"/>
              <w:right w:val="single" w:color="auto" w:sz="4" w:space="0"/>
            </w:tcBorders>
            <w:vAlign w:val="center"/>
          </w:tcPr>
          <w:p>
            <w:pPr>
              <w:ind w:firstLine="422" w:firstLineChars="200"/>
              <w:rPr>
                <w:rFonts w:ascii="宋体" w:hAnsi="宋体"/>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梦蝶会展中心</w:t>
            </w:r>
            <w:r>
              <w:rPr>
                <w:rFonts w:hint="eastAsia" w:ascii="宋体" w:hAnsi="宋体"/>
                <w:bCs/>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提升梦蝶会展中心软硬件设施，适时扩建展馆面积达到50000㎡，具备承接各类大型展会条件。着力打造以博览会展、商务服务、文化娱乐功能为主，兼具会展园区、商贸旅游、休闲购物等功能的会展产业核心区。</w:t>
            </w:r>
          </w:p>
          <w:p>
            <w:pPr>
              <w:ind w:firstLine="422" w:firstLineChars="200"/>
              <w:rPr>
                <w:rFonts w:ascii="宋体" w:hAnsi="宋体"/>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楼宇经济创新提升项目：</w:t>
            </w:r>
            <w:r>
              <w:rPr>
                <w:rFonts w:hint="eastAsia" w:ascii="宋体" w:hAnsi="宋体"/>
                <w:bCs/>
                <w:color w:val="000000" w:themeColor="text1"/>
                <w:szCs w:val="21"/>
                <w14:textFill>
                  <w14:solidFill>
                    <w14:schemeClr w14:val="tx1"/>
                  </w14:solidFill>
                </w14:textFill>
              </w:rPr>
              <w:t>占地面积100亩，</w:t>
            </w:r>
            <w:r>
              <w:rPr>
                <w:rFonts w:hint="eastAsia" w:ascii="宋体" w:hAnsi="宋体"/>
                <w:color w:val="000000" w:themeColor="text1"/>
                <w:szCs w:val="21"/>
                <w14:textFill>
                  <w14:solidFill>
                    <w14:schemeClr w14:val="tx1"/>
                  </w14:solidFill>
                </w14:textFill>
              </w:rPr>
              <w:t>完善高铁商务区、呼叫产业基地和新城区商务楼宇功能，完善住宿、餐饮、娱乐、商场、休闲、电商等配套设施。提升法律、会计、税务、咨询等商务服务。引进扶持总部经济和电商孵化企业，创新服务业态。</w:t>
            </w:r>
          </w:p>
          <w:p>
            <w:pPr>
              <w:pStyle w:val="7"/>
              <w:ind w:firstLine="422" w:firstLineChars="200"/>
              <w:jc w:val="both"/>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b/>
                <w:bCs/>
                <w:color w:val="000000" w:themeColor="text1"/>
                <w:kern w:val="2"/>
                <w:sz w:val="21"/>
                <w:szCs w:val="21"/>
                <w:lang w:eastAsia="zh-CN" w:bidi="ar-SA"/>
                <w14:textFill>
                  <w14:solidFill>
                    <w14:schemeClr w14:val="tx1"/>
                  </w14:solidFill>
                </w14:textFill>
              </w:rPr>
              <w:t>电子商务电教融合基地</w:t>
            </w:r>
            <w:r>
              <w:rPr>
                <w:rFonts w:hint="eastAsia" w:ascii="宋体" w:hAnsi="宋体" w:eastAsia="宋体"/>
                <w:bCs/>
                <w:color w:val="000000" w:themeColor="text1"/>
                <w:sz w:val="21"/>
                <w:szCs w:val="21"/>
                <w:lang w:eastAsia="zh-CN"/>
                <w14:textFill>
                  <w14:solidFill>
                    <w14:schemeClr w14:val="tx1"/>
                  </w14:solidFill>
                </w14:textFill>
              </w:rPr>
              <w:t>：</w:t>
            </w:r>
            <w:r>
              <w:rPr>
                <w:rFonts w:hint="eastAsia" w:ascii="宋体" w:hAnsi="宋体" w:eastAsia="宋体"/>
                <w:color w:val="000000" w:themeColor="text1"/>
                <w:sz w:val="21"/>
                <w:szCs w:val="21"/>
                <w:lang w:eastAsia="zh-CN"/>
                <w14:textFill>
                  <w14:solidFill>
                    <w14:schemeClr w14:val="tx1"/>
                  </w14:solidFill>
                </w14:textFill>
              </w:rPr>
              <w:t>基地面积5000㎡，采取校企双制、产教融合、工学一体新型模式，提升学员实践应用能力和创新创业水平，新增创业就业和实习岗位200多个。</w:t>
            </w:r>
          </w:p>
          <w:p>
            <w:pPr>
              <w:pStyle w:val="7"/>
              <w:ind w:firstLine="422" w:firstLineChars="200"/>
              <w:jc w:val="both"/>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b/>
                <w:bCs/>
                <w:color w:val="000000" w:themeColor="text1"/>
                <w:kern w:val="2"/>
                <w:sz w:val="21"/>
                <w:szCs w:val="21"/>
                <w:lang w:eastAsia="zh-CN" w:bidi="ar-SA"/>
                <w14:textFill>
                  <w14:solidFill>
                    <w14:schemeClr w14:val="tx1"/>
                  </w14:solidFill>
                </w14:textFill>
              </w:rPr>
              <w:t>阿里巴巴客户体验中心</w:t>
            </w:r>
            <w:r>
              <w:rPr>
                <w:rFonts w:hint="eastAsia" w:ascii="宋体" w:hAnsi="宋体" w:eastAsia="宋体"/>
                <w:bCs/>
                <w:color w:val="000000" w:themeColor="text1"/>
                <w:sz w:val="21"/>
                <w:szCs w:val="21"/>
                <w:lang w:eastAsia="zh-CN"/>
                <w14:textFill>
                  <w14:solidFill>
                    <w14:schemeClr w14:val="tx1"/>
                  </w14:solidFill>
                </w14:textFill>
              </w:rPr>
              <w:t>：</w:t>
            </w:r>
            <w:r>
              <w:rPr>
                <w:rFonts w:hint="eastAsia" w:ascii="宋体" w:hAnsi="宋体" w:eastAsia="宋体"/>
                <w:color w:val="000000" w:themeColor="text1"/>
                <w:sz w:val="21"/>
                <w:szCs w:val="21"/>
                <w:lang w:eastAsia="zh-CN"/>
                <w14:textFill>
                  <w14:solidFill>
                    <w14:schemeClr w14:val="tx1"/>
                  </w14:solidFill>
                </w14:textFill>
              </w:rPr>
              <w:t>打通客户到产品链条，建立服务培训体系，逐步引入电商配套服务领域知名企业，为云客服、商家、服务机构搭建人才输送通道，打造创新创业和人才引入平台，预计新增就业1000人以上。</w:t>
            </w:r>
          </w:p>
          <w:p>
            <w:pPr>
              <w:pStyle w:val="7"/>
              <w:ind w:firstLine="422" w:firstLineChars="200"/>
              <w:jc w:val="both"/>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民权县制冷产业实训基地：</w:t>
            </w:r>
            <w:r>
              <w:rPr>
                <w:rFonts w:hint="eastAsia" w:ascii="宋体" w:hAnsi="宋体" w:eastAsia="宋体"/>
                <w:color w:val="000000" w:themeColor="text1"/>
                <w:sz w:val="21"/>
                <w:szCs w:val="21"/>
                <w:lang w:eastAsia="zh-CN"/>
                <w14:textFill>
                  <w14:solidFill>
                    <w14:schemeClr w14:val="tx1"/>
                  </w14:solidFill>
                </w14:textFill>
              </w:rPr>
              <w:t>项目占地10000㎡，总投资5000万元，依托制冷基地优势，加强校企合作，建立一体化教学工作站、成果展示区等。</w:t>
            </w:r>
          </w:p>
          <w:p>
            <w:pPr>
              <w:pStyle w:val="7"/>
              <w:ind w:firstLine="422" w:firstLineChars="200"/>
              <w:jc w:val="both"/>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大数据产业园：</w:t>
            </w:r>
            <w:r>
              <w:rPr>
                <w:rFonts w:hint="eastAsia" w:ascii="宋体" w:hAnsi="宋体" w:eastAsia="宋体"/>
                <w:color w:val="000000" w:themeColor="text1"/>
                <w:sz w:val="21"/>
                <w:szCs w:val="21"/>
                <w:lang w:eastAsia="zh-CN"/>
                <w14:textFill>
                  <w14:solidFill>
                    <w14:schemeClr w14:val="tx1"/>
                  </w14:solidFill>
                </w14:textFill>
              </w:rPr>
              <w:t>占地面积100亩，分跨境大数据产业园和国际创新中心产业园两个板块，建设大数据研发应用中心、线上线下交易平台、双创孵化器、专家楼和职工宿舍等配套设施。</w:t>
            </w:r>
          </w:p>
          <w:p>
            <w:pPr>
              <w:pStyle w:val="7"/>
              <w:ind w:firstLine="422" w:firstLineChars="200"/>
              <w:jc w:val="both"/>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凯立达双创产业园：</w:t>
            </w:r>
            <w:r>
              <w:rPr>
                <w:rFonts w:hint="eastAsia" w:ascii="宋体" w:hAnsi="宋体" w:eastAsia="宋体"/>
                <w:color w:val="000000" w:themeColor="text1"/>
                <w:sz w:val="21"/>
                <w:szCs w:val="21"/>
                <w:lang w:eastAsia="zh-CN"/>
                <w14:textFill>
                  <w14:solidFill>
                    <w14:schemeClr w14:val="tx1"/>
                  </w14:solidFill>
                </w14:textFill>
              </w:rPr>
              <w:t>项目位于三农大厦，办公面积2700㎡，建成双创孵化育成平台。</w:t>
            </w:r>
          </w:p>
          <w:p>
            <w:pPr>
              <w:ind w:firstLine="422" w:firstLineChars="200"/>
              <w:rPr>
                <w:rFonts w:ascii="宋体" w:hAnsi="宋体"/>
                <w:bCs/>
                <w:color w:val="000000" w:themeColor="text1"/>
                <w:kern w:val="0"/>
                <w:szCs w:val="21"/>
                <w:lang w:bidi="en-US"/>
                <w14:textFill>
                  <w14:solidFill>
                    <w14:schemeClr w14:val="tx1"/>
                  </w14:solidFill>
                </w14:textFill>
              </w:rPr>
            </w:pPr>
            <w:r>
              <w:rPr>
                <w:rFonts w:hint="eastAsia" w:ascii="宋体" w:hAnsi="宋体"/>
                <w:b/>
                <w:bCs/>
                <w:color w:val="000000" w:themeColor="text1"/>
                <w:kern w:val="0"/>
                <w:szCs w:val="21"/>
                <w:lang w:bidi="en-US"/>
                <w14:textFill>
                  <w14:solidFill>
                    <w14:schemeClr w14:val="tx1"/>
                  </w14:solidFill>
                </w14:textFill>
              </w:rPr>
              <w:t>红酒经济：</w:t>
            </w:r>
            <w:r>
              <w:rPr>
                <w:rFonts w:hint="eastAsia" w:ascii="宋体" w:hAnsi="宋体"/>
                <w:bCs/>
                <w:color w:val="000000" w:themeColor="text1"/>
                <w:kern w:val="0"/>
                <w:szCs w:val="21"/>
                <w:lang w:bidi="en-US"/>
                <w14:textFill>
                  <w14:solidFill>
                    <w14:schemeClr w14:val="tx1"/>
                  </w14:solidFill>
                </w14:textFill>
              </w:rPr>
              <w:t>推进仟纳酒堡、龙邑酒庄建设，招引知名葡萄酒体验销售企业，打造红酒经济龙头。</w:t>
            </w:r>
          </w:p>
          <w:p>
            <w:pPr>
              <w:ind w:firstLine="422" w:firstLineChars="200"/>
              <w:rPr>
                <w:rFonts w:ascii="宋体" w:hAnsi="宋体"/>
                <w:bCs/>
                <w:color w:val="000000" w:themeColor="text1"/>
                <w:kern w:val="0"/>
                <w:szCs w:val="21"/>
                <w:lang w:bidi="en-US"/>
                <w14:textFill>
                  <w14:solidFill>
                    <w14:schemeClr w14:val="tx1"/>
                  </w14:solidFill>
                </w14:textFill>
              </w:rPr>
            </w:pPr>
            <w:r>
              <w:rPr>
                <w:rFonts w:hint="eastAsia" w:ascii="宋体" w:hAnsi="宋体"/>
                <w:b/>
                <w:bCs/>
                <w:color w:val="000000" w:themeColor="text1"/>
                <w:kern w:val="0"/>
                <w:szCs w:val="21"/>
                <w:lang w:bidi="en-US"/>
                <w14:textFill>
                  <w14:solidFill>
                    <w14:schemeClr w14:val="tx1"/>
                  </w14:solidFill>
                </w14:textFill>
              </w:rPr>
              <w:t>生活服务：</w:t>
            </w:r>
            <w:r>
              <w:rPr>
                <w:rFonts w:hint="eastAsia" w:ascii="宋体" w:hAnsi="宋体"/>
                <w:bCs/>
                <w:color w:val="000000" w:themeColor="text1"/>
                <w:kern w:val="0"/>
                <w:szCs w:val="21"/>
                <w:lang w:bidi="en-US"/>
                <w14:textFill>
                  <w14:solidFill>
                    <w14:schemeClr w14:val="tx1"/>
                  </w14:solidFill>
                </w14:textFill>
              </w:rPr>
              <w:t>引进国内知名大型商业综合体和酒店餐饮连锁机构，提升生活服务档次。</w:t>
            </w:r>
          </w:p>
          <w:p>
            <w:pPr>
              <w:ind w:firstLine="422" w:firstLineChars="200"/>
              <w:rPr>
                <w:rFonts w:ascii="宋体" w:hAnsi="宋体"/>
                <w:color w:val="000000" w:themeColor="text1"/>
                <w:szCs w:val="21"/>
                <w:lang w:bidi="en-US"/>
                <w14:textFill>
                  <w14:solidFill>
                    <w14:schemeClr w14:val="tx1"/>
                  </w14:solidFill>
                </w14:textFill>
              </w:rPr>
            </w:pPr>
            <w:r>
              <w:rPr>
                <w:rFonts w:hint="eastAsia" w:ascii="宋体" w:hAnsi="宋体"/>
                <w:b/>
                <w:bCs/>
                <w:color w:val="000000" w:themeColor="text1"/>
                <w:kern w:val="0"/>
                <w:szCs w:val="21"/>
                <w:lang w:bidi="en-US"/>
                <w14:textFill>
                  <w14:solidFill>
                    <w14:schemeClr w14:val="tx1"/>
                  </w14:solidFill>
                </w14:textFill>
              </w:rPr>
              <w:t>新兴业态：</w:t>
            </w:r>
            <w:r>
              <w:rPr>
                <w:rFonts w:hint="eastAsia" w:ascii="宋体" w:hAnsi="宋体"/>
                <w:bCs/>
                <w:color w:val="000000" w:themeColor="text1"/>
                <w:kern w:val="0"/>
                <w:szCs w:val="21"/>
                <w:lang w:bidi="en-US"/>
                <w14:textFill>
                  <w14:solidFill>
                    <w14:schemeClr w14:val="tx1"/>
                  </w14:solidFill>
                </w14:textFill>
              </w:rPr>
              <w:t>依托生态文旅资源，推动“文旅科创”综合体建设，促进文化艺术、教育培训、生态旅游、科创转化等业态集聚。</w:t>
            </w:r>
          </w:p>
        </w:tc>
      </w:tr>
    </w:tbl>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47" w:name="_Toc65849362"/>
      <w:bookmarkStart w:id="48" w:name="_Toc71192364"/>
      <w:r>
        <w:rPr>
          <w:rFonts w:hint="eastAsia" w:ascii="Times New Roman" w:hAnsi="Times New Roman" w:eastAsia="楷体"/>
          <w:bCs w:val="0"/>
          <w:color w:val="000000" w:themeColor="text1"/>
          <w:szCs w:val="20"/>
          <w14:textFill>
            <w14:solidFill>
              <w14:schemeClr w14:val="tx1"/>
            </w14:solidFill>
          </w14:textFill>
        </w:rPr>
        <w:t>第四节</w:t>
      </w:r>
      <w:bookmarkEnd w:id="47"/>
      <w:r>
        <w:rPr>
          <w:rFonts w:hint="eastAsia" w:ascii="Times New Roman" w:hAnsi="Times New Roman" w:eastAsia="楷体"/>
          <w:bCs w:val="0"/>
          <w:color w:val="000000" w:themeColor="text1"/>
          <w:szCs w:val="20"/>
          <w14:textFill>
            <w14:solidFill>
              <w14:schemeClr w14:val="tx1"/>
            </w14:solidFill>
          </w14:textFill>
        </w:rPr>
        <w:t xml:space="preserve"> 实施工业企业升级培育工程</w:t>
      </w:r>
      <w:bookmarkEnd w:id="48"/>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坚持把制造业高质量发展作为主攻方向，实施产业链提升工程，促进工业转型升级，培育壮大企业集群。</w:t>
      </w:r>
    </w:p>
    <w:p>
      <w:pPr>
        <w:ind w:firstLine="643"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推动升级改造。</w:t>
      </w:r>
      <w:r>
        <w:rPr>
          <w:rFonts w:hint="eastAsia" w:ascii="仿宋_GB2312" w:hAnsi="楷体" w:eastAsia="仿宋_GB2312"/>
          <w:color w:val="000000" w:themeColor="text1"/>
          <w:sz w:val="32"/>
          <w:szCs w:val="32"/>
          <w14:textFill>
            <w14:solidFill>
              <w14:schemeClr w14:val="tx1"/>
            </w14:solidFill>
          </w14:textFill>
        </w:rPr>
        <w:t>智能改造引领，支持大型标杆企业和</w:t>
      </w:r>
      <w:r>
        <w:rPr>
          <w:rFonts w:hint="eastAsia" w:ascii="仿宋_GB2312" w:hAnsi="华文仿宋" w:eastAsia="仿宋_GB2312"/>
          <w:color w:val="000000" w:themeColor="text1"/>
          <w:sz w:val="32"/>
          <w:szCs w:val="32"/>
          <w14:textFill>
            <w14:solidFill>
              <w14:schemeClr w14:val="tx1"/>
            </w14:solidFill>
          </w14:textFill>
        </w:rPr>
        <w:t>骨干企业进入数字化创新“无人区”，实施中小企业数字化赋能行动，支持智能产品推广应用，建设智能工厂、智能车间、数字园区。</w:t>
      </w:r>
      <w:r>
        <w:rPr>
          <w:rFonts w:hint="eastAsia" w:ascii="仿宋_GB2312" w:hAnsi="楷体" w:eastAsia="仿宋_GB2312"/>
          <w:color w:val="000000" w:themeColor="text1"/>
          <w:sz w:val="32"/>
          <w:szCs w:val="32"/>
          <w14:textFill>
            <w14:solidFill>
              <w14:schemeClr w14:val="tx1"/>
            </w14:solidFill>
          </w14:textFill>
        </w:rPr>
        <w:t>绿色改造升级，</w:t>
      </w:r>
      <w:r>
        <w:rPr>
          <w:rFonts w:hint="eastAsia" w:ascii="仿宋_GB2312" w:hAnsi="华文仿宋" w:eastAsia="仿宋_GB2312"/>
          <w:color w:val="000000" w:themeColor="text1"/>
          <w:sz w:val="32"/>
          <w:szCs w:val="32"/>
          <w14:textFill>
            <w14:solidFill>
              <w14:schemeClr w14:val="tx1"/>
            </w14:solidFill>
          </w14:textFill>
        </w:rPr>
        <w:t>开展能效、水效领跑者和绿色制造提升行动，创建绿色工厂、循环园区。推广绿色技术、绿色服务，推动工业低碳、清洁、循环、集约发展。率先制定电力行业碳达峰计划。加快企业新一轮技术改造，力争技改投资年均增长20%以上。推动制造业和服务业深度融合，发展新型制造模式，培育服务型制造企业。引导“新制造”“新流通”联动，助推制造业上下游协同配套。促进生产和流通无缝衔接，形成高新区相对完整的产业链、流通链。</w:t>
      </w:r>
    </w:p>
    <w:p>
      <w:pPr>
        <w:ind w:firstLine="643"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做优传统工业。</w:t>
      </w:r>
      <w:r>
        <w:rPr>
          <w:rFonts w:hint="eastAsia" w:ascii="仿宋_GB2312" w:hAnsi="华文仿宋" w:eastAsia="仿宋_GB2312"/>
          <w:color w:val="000000" w:themeColor="text1"/>
          <w:sz w:val="32"/>
          <w:szCs w:val="32"/>
          <w14:textFill>
            <w14:solidFill>
              <w14:schemeClr w14:val="tx1"/>
            </w14:solidFill>
          </w14:textFill>
        </w:rPr>
        <w:t>推动传统工业向“绿色、高效、品质”转型，促进食品工业提质增效，实现生产过程“绿色、减量”。发展绿色新型装修材料，鼓励木材加工向集成板材等成品转变，支持装配式建筑预制构件生产和建材工业循环生产。促进鞋业、服装加工延伸产业链，培育企业群体和企业品牌。支持金属制品、塑料制品、洗护消杀工业发展壮大，鼓励新型铝材、新型耐材高端产品项目。</w:t>
      </w:r>
    </w:p>
    <w:p>
      <w:pPr>
        <w:ind w:firstLine="643"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培育企业集群。</w:t>
      </w:r>
      <w:r>
        <w:rPr>
          <w:rFonts w:hint="eastAsia" w:ascii="仿宋_GB2312" w:hAnsi="华文仿宋" w:eastAsia="仿宋_GB2312"/>
          <w:color w:val="000000" w:themeColor="text1"/>
          <w:sz w:val="32"/>
          <w:szCs w:val="32"/>
          <w14:textFill>
            <w14:solidFill>
              <w14:schemeClr w14:val="tx1"/>
            </w14:solidFill>
          </w14:textFill>
        </w:rPr>
        <w:t>实施主导产业增品种、提品质、创品牌“三品”战略，增强产业韧性。扶持中小微企业，形成食品饮品、金属制品、建材木材、服装鞋包、家居装修、节能环保、新能源、新材料、洗护消杀等领域企业群体。实施“小升规、普转科、育龙头”工程，培育地域产业链和明星企业。支持引导乡镇工业园、返乡创业园、小微企业园建设。</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napToGrid w:val="0"/>
              <w:rPr>
                <w:rFonts w:ascii="宋体" w:hAnsi="宋体"/>
                <w:bCs/>
                <w:color w:val="000000" w:themeColor="text1"/>
                <w:szCs w:val="21"/>
                <w14:textFill>
                  <w14:solidFill>
                    <w14:schemeClr w14:val="tx1"/>
                  </w14:solidFill>
                </w14:textFill>
              </w:rPr>
            </w:pPr>
            <w:r>
              <w:rPr>
                <w:rFonts w:hint="eastAsia" w:ascii="Times New Roman" w:hAnsi="Times New Roman" w:eastAsia="黑体"/>
                <w:bCs/>
                <w:color w:val="000000" w:themeColor="text1"/>
                <w:sz w:val="24"/>
                <w:szCs w:val="24"/>
                <w14:textFill>
                  <w14:solidFill>
                    <w14:schemeClr w14:val="tx1"/>
                  </w14:solidFill>
                </w14:textFill>
              </w:rPr>
              <w:t>专栏3-4：工业企业升级培育工程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ind w:firstLine="420" w:firstLineChars="200"/>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1.每年创建市级智能化工厂、车间5个以上，省级智能化工厂、车间3个以上。</w:t>
            </w:r>
          </w:p>
          <w:p>
            <w:pPr>
              <w:ind w:firstLine="420" w:firstLineChars="200"/>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2.发展生态工业，高新区创建省级绿色化园区，全县创建省级绿色工厂数量处于商丘市领先地位，国家级绿色工厂有新突破，孙六镇循环经济示范园区有大幅提升。</w:t>
            </w:r>
          </w:p>
          <w:p>
            <w:pPr>
              <w:ind w:firstLine="420" w:firstLineChars="200"/>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3.到2025年，制造企业研发经费占主营业务收入比重达到2%，高新技术企业达到30家，科技型中小企业达到50家以上，各类研发中心达到20家。</w:t>
            </w:r>
          </w:p>
          <w:p>
            <w:pPr>
              <w:ind w:firstLine="420" w:firstLineChars="200"/>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4.民权县产业转型升级平台，</w:t>
            </w:r>
            <w:r>
              <w:rPr>
                <w:rFonts w:hint="eastAsia" w:ascii="宋体" w:hAnsi="宋体"/>
                <w:color w:val="000000" w:themeColor="text1"/>
                <w:szCs w:val="21"/>
                <w14:textFill>
                  <w14:solidFill>
                    <w14:schemeClr w14:val="tx1"/>
                  </w14:solidFill>
                </w14:textFill>
              </w:rPr>
              <w:t>计划总投资1.336亿元，建设智慧物流、智慧园区、智慧旅游工程，建设城乡产业协同发展平台、中小企业服务平台。</w:t>
            </w:r>
          </w:p>
          <w:p>
            <w:pPr>
              <w:ind w:firstLine="420" w:firstLineChars="200"/>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5.规模以上工业企业达到 200家，规模以上工业总产值900亿元，增加值200亿元。</w:t>
            </w:r>
          </w:p>
          <w:p>
            <w:pPr>
              <w:ind w:firstLine="420" w:firstLineChars="200"/>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6.拥有中国驰名商标6个以上，河南省名牌产品10个以上。</w:t>
            </w:r>
          </w:p>
        </w:tc>
      </w:tr>
    </w:tbl>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49" w:name="_Toc71192365"/>
      <w:bookmarkStart w:id="50" w:name="_Toc65849363"/>
      <w:r>
        <w:rPr>
          <w:rFonts w:hint="eastAsia" w:ascii="Times New Roman" w:hAnsi="Times New Roman" w:eastAsia="楷体"/>
          <w:bCs w:val="0"/>
          <w:color w:val="000000" w:themeColor="text1"/>
          <w:szCs w:val="20"/>
          <w14:textFill>
            <w14:solidFill>
              <w14:schemeClr w14:val="tx1"/>
            </w14:solidFill>
          </w14:textFill>
        </w:rPr>
        <w:t>第五节 改善服务业供给质量</w:t>
      </w:r>
      <w:bookmarkEnd w:id="49"/>
      <w:bookmarkEnd w:id="50"/>
    </w:p>
    <w:p>
      <w:pPr>
        <w:ind w:firstLine="643"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现代金融服务。</w:t>
      </w:r>
      <w:r>
        <w:rPr>
          <w:rFonts w:hint="eastAsia" w:ascii="仿宋_GB2312" w:hAnsi="华文仿宋" w:eastAsia="仿宋_GB2312"/>
          <w:color w:val="000000" w:themeColor="text1"/>
          <w:sz w:val="32"/>
          <w:szCs w:val="32"/>
          <w14:textFill>
            <w14:solidFill>
              <w14:schemeClr w14:val="tx1"/>
            </w14:solidFill>
          </w14:textFill>
        </w:rPr>
        <w:t>创新金融服务方式，支持商业银行开展投贷联动试点，加大对创新创业和战略性新兴产业融资支持，稳步提高本地存贷比。推动企业直接融资，提供专业化辅导和培训，培育优质企业上市，鼓励更多中小企业在新三板、中原股权交易中心挂牌融资。积极发展数字金融、绿色金融、供应链金融、金融租赁、财务管理等新兴金融业态。优化中小企业金融服务，大力发展小微金融，降低融资成本。推进农村金融改革，支持乡村振兴，扩大农业农村产权抵押范围，加大对特色农业、高效农业、绿色食品加工业金融支持力度。</w:t>
      </w:r>
    </w:p>
    <w:p>
      <w:pPr>
        <w:ind w:firstLine="643"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商务商贸服务。</w:t>
      </w:r>
      <w:r>
        <w:rPr>
          <w:rFonts w:hint="eastAsia" w:ascii="仿宋_GB2312" w:hAnsi="华文仿宋" w:eastAsia="仿宋_GB2312"/>
          <w:color w:val="000000" w:themeColor="text1"/>
          <w:sz w:val="32"/>
          <w:szCs w:val="32"/>
          <w14:textFill>
            <w14:solidFill>
              <w14:schemeClr w14:val="tx1"/>
            </w14:solidFill>
          </w14:textFill>
        </w:rPr>
        <w:t>培育特色商业区核心商圈，促进商务商业、文化娱乐、住宿餐饮、教育培训、体育健身等多业态进驻。构建“通道+枢纽+网络”的现代商贸体系，加快城乡市场建设。引进大型商业综合体，</w:t>
      </w:r>
      <w:r>
        <w:rPr>
          <w:rFonts w:hint="eastAsia" w:ascii="仿宋_GB2312" w:hAnsi="Times New Roman" w:eastAsia="仿宋_GB2312" w:cs="宋体"/>
          <w:color w:val="000000" w:themeColor="text1"/>
          <w:kern w:val="0"/>
          <w:sz w:val="32"/>
          <w:szCs w:val="32"/>
          <w14:textFill>
            <w14:solidFill>
              <w14:schemeClr w14:val="tx1"/>
            </w14:solidFill>
          </w14:textFill>
        </w:rPr>
        <w:t>建设北关、人和商贸物流小镇，引导乡村市场、集市有序发展，</w:t>
      </w:r>
      <w:r>
        <w:rPr>
          <w:rFonts w:hint="eastAsia" w:ascii="仿宋_GB2312" w:hAnsi="华文仿宋" w:eastAsia="仿宋_GB2312"/>
          <w:color w:val="000000" w:themeColor="text1"/>
          <w:sz w:val="32"/>
          <w:szCs w:val="32"/>
          <w14:textFill>
            <w14:solidFill>
              <w14:schemeClr w14:val="tx1"/>
            </w14:solidFill>
          </w14:textFill>
        </w:rPr>
        <w:t>优化乡村商超布局。积极发展电子商务，引进国内外知名电商企业，促进线上线下融合互动、平等竞争，支持本地商贸流通企业上网，推进民权特色产品向电商品牌转化。</w:t>
      </w:r>
    </w:p>
    <w:p>
      <w:pPr>
        <w:ind w:firstLine="643"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文化教育培训。</w:t>
      </w:r>
      <w:r>
        <w:rPr>
          <w:rFonts w:hint="eastAsia" w:ascii="仿宋_GB2312" w:hAnsi="华文仿宋" w:eastAsia="仿宋_GB2312"/>
          <w:color w:val="000000" w:themeColor="text1"/>
          <w:sz w:val="32"/>
          <w:szCs w:val="32"/>
          <w14:textFill>
            <w14:solidFill>
              <w14:schemeClr w14:val="tx1"/>
            </w14:solidFill>
          </w14:textFill>
        </w:rPr>
        <w:t>培育文化创意类产业，提升文化教育、文体娱乐、文化零售供给层次。深入推动文化与旅游、体育、教育业态融合，培育文旅、文体、文教产业主体。</w:t>
      </w:r>
      <w:r>
        <w:rPr>
          <w:rFonts w:hint="eastAsia" w:ascii="仿宋_GB2312" w:hAnsi="Times New Roman" w:eastAsia="仿宋_GB2312"/>
          <w:color w:val="000000" w:themeColor="text1"/>
          <w:sz w:val="32"/>
          <w:szCs w:val="32"/>
          <w14:textFill>
            <w14:solidFill>
              <w14:schemeClr w14:val="tx1"/>
            </w14:solidFill>
          </w14:textFill>
        </w:rPr>
        <w:t>发展文体娱乐经纪服务，推动各类职业性、商业性文化活动。</w:t>
      </w:r>
      <w:r>
        <w:rPr>
          <w:rFonts w:hint="eastAsia" w:ascii="仿宋_GB2312" w:hAnsi="华文仿宋" w:eastAsia="仿宋_GB2312"/>
          <w:color w:val="000000" w:themeColor="text1"/>
          <w:sz w:val="32"/>
          <w:szCs w:val="32"/>
          <w14:textFill>
            <w14:solidFill>
              <w14:schemeClr w14:val="tx1"/>
            </w14:solidFill>
          </w14:textFill>
        </w:rPr>
        <w:t>引进专业化、品牌化教育培训、技术培训资源，提升教育培训产业。围绕家政、养老、托育、健康养生、医疗护理等民生领域，提升从业人员职业技能，推动培训、服务一体化品牌建立。鼓励文化、语言、艺术、体育、美育等素质提升领域和继续教育领域新机构设立和新业态发展。</w:t>
      </w:r>
    </w:p>
    <w:p>
      <w:pPr>
        <w:ind w:firstLine="643"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体育健康养老。</w:t>
      </w:r>
      <w:r>
        <w:rPr>
          <w:rFonts w:hint="eastAsia" w:ascii="仿宋_GB2312" w:hAnsi="华文仿宋" w:eastAsia="仿宋_GB2312"/>
          <w:color w:val="000000" w:themeColor="text1"/>
          <w:sz w:val="32"/>
          <w:szCs w:val="32"/>
          <w14:textFill>
            <w14:solidFill>
              <w14:schemeClr w14:val="tx1"/>
            </w14:solidFill>
          </w14:textFill>
        </w:rPr>
        <w:t>鼓励举办体育赛事，繁荣球类、水上、森林、航空体育运动，推动体育表演、体育旅游、体育健身、体育会展和体育经纪发展，扩大民权生态健康品牌影响力。</w:t>
      </w:r>
      <w:r>
        <w:rPr>
          <w:rFonts w:hint="eastAsia" w:ascii="仿宋_GB2312" w:hAnsi="华文仿宋" w:eastAsia="仿宋_GB2312"/>
          <w:bCs/>
          <w:color w:val="000000" w:themeColor="text1"/>
          <w:sz w:val="32"/>
          <w:szCs w:val="32"/>
          <w14:textFill>
            <w14:solidFill>
              <w14:schemeClr w14:val="tx1"/>
            </w14:solidFill>
          </w14:textFill>
        </w:rPr>
        <w:t>扩大健康服务供给，促进健康消费，</w:t>
      </w:r>
      <w:r>
        <w:rPr>
          <w:rFonts w:hint="eastAsia" w:ascii="仿宋_GB2312" w:hAnsi="华文仿宋" w:eastAsia="仿宋_GB2312"/>
          <w:color w:val="000000" w:themeColor="text1"/>
          <w:sz w:val="32"/>
          <w:szCs w:val="32"/>
          <w14:textFill>
            <w14:solidFill>
              <w14:schemeClr w14:val="tx1"/>
            </w14:solidFill>
          </w14:textFill>
        </w:rPr>
        <w:t>建设黄河故道生态康养度假区，筹建护理学院，加快发展医疗、护理、养生、养老大健康产业。支持中医药养生保健、医疗康复、健康管理、心理咨询、精准医疗等健康服务业发展。</w:t>
      </w:r>
    </w:p>
    <w:p>
      <w:pPr>
        <w:ind w:firstLine="643" w:firstLineChars="200"/>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b/>
          <w:color w:val="000000" w:themeColor="text1"/>
          <w:sz w:val="32"/>
          <w:szCs w:val="32"/>
          <w14:textFill>
            <w14:solidFill>
              <w14:schemeClr w14:val="tx1"/>
            </w14:solidFill>
          </w14:textFill>
        </w:rPr>
        <w:t>其他生产性服务业。</w:t>
      </w:r>
      <w:r>
        <w:rPr>
          <w:rFonts w:hint="eastAsia" w:ascii="仿宋_GB2312" w:hAnsi="Times New Roman" w:eastAsia="仿宋_GB2312"/>
          <w:color w:val="000000" w:themeColor="text1"/>
          <w:sz w:val="32"/>
          <w:szCs w:val="32"/>
          <w14:textFill>
            <w14:solidFill>
              <w14:schemeClr w14:val="tx1"/>
            </w14:solidFill>
          </w14:textFill>
        </w:rPr>
        <w:t>推动生产性服务业向价值链高端迈进，着力发展科技服务、研发设计等服务业，鼓励领军企业在民权设立区域总部、分支机构、制造中心、体验工厂、电商园区</w:t>
      </w:r>
      <w:r>
        <w:rPr>
          <w:rFonts w:hint="eastAsia" w:ascii="仿宋_GB2312" w:hAnsi="华文仿宋" w:eastAsia="仿宋_GB2312"/>
          <w:color w:val="000000" w:themeColor="text1"/>
          <w:sz w:val="32"/>
          <w:szCs w:val="32"/>
          <w14:textFill>
            <w14:solidFill>
              <w14:schemeClr w14:val="tx1"/>
            </w14:solidFill>
          </w14:textFill>
        </w:rPr>
        <w:t>。</w:t>
      </w:r>
      <w:r>
        <w:rPr>
          <w:rFonts w:hint="eastAsia" w:ascii="仿宋_GB2312" w:hAnsi="Times New Roman" w:eastAsia="仿宋_GB2312"/>
          <w:color w:val="000000" w:themeColor="text1"/>
          <w:sz w:val="32"/>
          <w:szCs w:val="32"/>
          <w14:textFill>
            <w14:solidFill>
              <w14:schemeClr w14:val="tx1"/>
            </w14:solidFill>
          </w14:textFill>
        </w:rPr>
        <w:t>壮大枢纽服务，鼓励龙头企业整合供应链资源，积极发展枢纽偏好型服务业。强化制冷、葡萄酒等标准认证服务，提升综合检测服务。培育工业设计、技术升级服务，加快发展技术咨询、评估、检测服务。促进会计、审计、税务、法律、广告等中介服务。培育壮大电子商务和信息服务，大力发展国内外贸易经纪代理服务。发挥县人才服务中心作用，提供职业中介、劳务派遣、创业指导服务。完善办公服务、商务代理服务，支持园区、楼宇、单位后勤管理服务。</w:t>
      </w:r>
    </w:p>
    <w:p>
      <w:pPr>
        <w:ind w:firstLine="643" w:firstLineChars="200"/>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b/>
          <w:color w:val="000000" w:themeColor="text1"/>
          <w:sz w:val="32"/>
          <w:szCs w:val="32"/>
          <w14:textFill>
            <w14:solidFill>
              <w14:schemeClr w14:val="tx1"/>
            </w14:solidFill>
          </w14:textFill>
        </w:rPr>
        <w:t>其他生活性服务业。</w:t>
      </w:r>
      <w:r>
        <w:rPr>
          <w:rFonts w:hint="eastAsia" w:ascii="仿宋_GB2312" w:hAnsi="Times New Roman" w:eastAsia="仿宋_GB2312"/>
          <w:color w:val="000000" w:themeColor="text1"/>
          <w:sz w:val="32"/>
          <w:szCs w:val="32"/>
          <w14:textFill>
            <w14:solidFill>
              <w14:schemeClr w14:val="tx1"/>
            </w14:solidFill>
          </w14:textFill>
        </w:rPr>
        <w:t>适应新型城镇化快速发展需要，促进生活性服务业向高品质和多样化升级，加快推动服务业高质量发展。引入星级品牌酒店、餐饮连锁机构，提升住宿、餐饮业品质档次。发展住房租赁市场特别是长期租赁，支持专业化、机构化住房租赁企业发展。协调促进大型商业综合体、购物中心、百货店、专卖店、超市等零售服务。提升乡镇、社区医疗卫生、健康服务产业层次，支持乡镇、社区托幼、家政、康养、培训等产业。支持日用品修理业，促进快递服务便捷化，支持社区其他生活性服务业。</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napToGrid w:val="0"/>
              <w:rPr>
                <w:rFonts w:ascii="宋体" w:hAnsi="宋体"/>
                <w:color w:val="000000" w:themeColor="text1"/>
                <w:szCs w:val="21"/>
                <w14:textFill>
                  <w14:solidFill>
                    <w14:schemeClr w14:val="tx1"/>
                  </w14:solidFill>
                </w14:textFill>
              </w:rPr>
            </w:pPr>
            <w:r>
              <w:rPr>
                <w:rFonts w:hint="eastAsia" w:ascii="Times New Roman" w:hAnsi="Times New Roman" w:eastAsia="黑体"/>
                <w:bCs/>
                <w:color w:val="000000" w:themeColor="text1"/>
                <w:sz w:val="24"/>
                <w:szCs w:val="24"/>
                <w14:textFill>
                  <w14:solidFill>
                    <w14:schemeClr w14:val="tx1"/>
                  </w14:solidFill>
                </w14:textFill>
              </w:rPr>
              <w:t>专栏3-5：服务业发展重点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ind w:firstLine="422" w:firstLineChars="200"/>
              <w:jc w:val="left"/>
              <w:rPr>
                <w:rFonts w:ascii="宋体" w:hAnsi="宋体"/>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现代金融：</w:t>
            </w:r>
            <w:r>
              <w:rPr>
                <w:rFonts w:hint="eastAsia" w:ascii="宋体" w:hAnsi="宋体"/>
                <w:bCs/>
                <w:color w:val="000000" w:themeColor="text1"/>
                <w:szCs w:val="21"/>
                <w14:textFill>
                  <w14:solidFill>
                    <w14:schemeClr w14:val="tx1"/>
                  </w14:solidFill>
                </w14:textFill>
              </w:rPr>
              <w:t>全县银行业金融机构达到11家，存贷比进一步提高。上市公司数量、直接融资额、企业债券、公司债券、资产支持债券等方面稳步提升，证券经营资产总额和交易额持续增长。发展农产品期货市场，推进花生、大蒜期货品种上市前期工作。积极培育地方法人保险机构，促进现代保险业与地方经济社会发展相适应。</w:t>
            </w:r>
          </w:p>
          <w:p>
            <w:pPr>
              <w:ind w:firstLine="422" w:firstLineChars="200"/>
              <w:jc w:val="left"/>
              <w:rPr>
                <w:rFonts w:ascii="宋体" w:hAnsi="宋体"/>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生产生活服务：</w:t>
            </w:r>
            <w:r>
              <w:rPr>
                <w:rFonts w:hint="eastAsia" w:ascii="宋体" w:hAnsi="宋体"/>
                <w:bCs/>
                <w:color w:val="000000" w:themeColor="text1"/>
                <w:szCs w:val="21"/>
                <w14:textFill>
                  <w14:solidFill>
                    <w14:schemeClr w14:val="tx1"/>
                  </w14:solidFill>
                </w14:textFill>
              </w:rPr>
              <w:t>建设会展双创产业园、会展培训学校、制冷实训基地、电商孵化园。发展楼宇经济，扶持总部经济和电商经济，导入商务咨询、策划设计、科创服务、文旅创意等产业。支持建设产地冷库和流通型冷库。引进知名酒店、餐饮连锁机构、大型商业综合体等。</w:t>
            </w:r>
          </w:p>
          <w:p>
            <w:pPr>
              <w:ind w:firstLine="422" w:firstLineChars="200"/>
              <w:jc w:val="left"/>
              <w:rPr>
                <w:rFonts w:ascii="宋体" w:hAnsi="宋体"/>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健康养老：</w:t>
            </w:r>
            <w:r>
              <w:rPr>
                <w:rFonts w:hint="eastAsia" w:ascii="宋体" w:hAnsi="宋体"/>
                <w:bCs/>
                <w:color w:val="000000" w:themeColor="text1"/>
                <w:szCs w:val="21"/>
                <w14:textFill>
                  <w14:solidFill>
                    <w14:schemeClr w14:val="tx1"/>
                  </w14:solidFill>
                </w14:textFill>
              </w:rPr>
              <w:t>建设康养度假区，筹建护理学院，促进医养结合，培育养老新业态。引导文明健康生活方式，定期举办体育赛事和健身活动，扩大生态健康品牌影响力。</w:t>
            </w:r>
          </w:p>
        </w:tc>
      </w:tr>
    </w:tbl>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51" w:name="_Toc65849364"/>
      <w:bookmarkStart w:id="52" w:name="_Toc71192366"/>
      <w:r>
        <w:rPr>
          <w:rFonts w:hint="eastAsia" w:ascii="Times New Roman" w:hAnsi="Times New Roman" w:eastAsia="楷体"/>
          <w:bCs w:val="0"/>
          <w:color w:val="000000" w:themeColor="text1"/>
          <w:szCs w:val="20"/>
          <w14:textFill>
            <w14:solidFill>
              <w14:schemeClr w14:val="tx1"/>
            </w14:solidFill>
          </w14:textFill>
        </w:rPr>
        <w:t xml:space="preserve">第六节 </w:t>
      </w:r>
      <w:bookmarkEnd w:id="51"/>
      <w:r>
        <w:rPr>
          <w:rFonts w:hint="eastAsia" w:ascii="Times New Roman" w:hAnsi="Times New Roman" w:eastAsia="楷体"/>
          <w:bCs w:val="0"/>
          <w:color w:val="000000" w:themeColor="text1"/>
          <w:szCs w:val="20"/>
          <w14:textFill>
            <w14:solidFill>
              <w14:schemeClr w14:val="tx1"/>
            </w14:solidFill>
          </w14:textFill>
        </w:rPr>
        <w:t>加快数字化发展，建设智慧民权</w:t>
      </w:r>
      <w:bookmarkEnd w:id="52"/>
    </w:p>
    <w:p>
      <w:pPr>
        <w:ind w:firstLine="643"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推动产业数字化转型。</w:t>
      </w:r>
      <w:r>
        <w:rPr>
          <w:rFonts w:hint="eastAsia" w:ascii="仿宋_GB2312" w:hAnsi="华文仿宋" w:eastAsia="仿宋_GB2312"/>
          <w:color w:val="000000" w:themeColor="text1"/>
          <w:sz w:val="32"/>
          <w:szCs w:val="32"/>
          <w14:textFill>
            <w14:solidFill>
              <w14:schemeClr w14:val="tx1"/>
            </w14:solidFill>
          </w14:textFill>
        </w:rPr>
        <w:t>稳步实施“上云用数赋智”行动，搭建网络化协同平台，加快建立包括政府、平台企业、行业龙头企业、行业协会、服务机构以及中小微企业在内的联合推进机制，促进数字技术与实体经济深度融合。搭建民权产业转型升级综合平台，推动制冷工业互联网平台、智慧物流服务平台、智能化园区建设，支持智能网联冷藏车全国服务平台建设。加快制冷、葡萄酒、食品等领域“5G+工业互联网”先导应用。加快制冷装备智慧化，支持冰熊冷藏车、松川、澳柯玛、阿诗丹顿等企业加快智能化改造和智慧冰箱、智慧冰柜产品推广应用。以“民权双创体”项目为先导，做好重大智慧工业项目示范。用足用活国家产业政策，重点培育一批行业“两化”融合龙头企业。加大数字化引导性资金投入，促进5G、大数据、云计算、物联网、人工智能等信息技术与企业生产、经营、管理等各个环节融合。“十四五”期间，争取每年创省、市级智能化工厂、车间5家以上。推动服务业数字化转型，培育新业态新模式。加快智慧物流、智慧冷链建设。发展智慧农业，推进农业生产经营和管理服务数字化改造。支持第三方大数据服务产业。</w:t>
      </w:r>
    </w:p>
    <w:p>
      <w:pPr>
        <w:ind w:firstLine="643" w:firstLineChars="200"/>
        <w:rPr>
          <w:rFonts w:ascii="仿宋_GB2312" w:hAnsi="华文仿宋" w:eastAsia="仿宋_GB2312"/>
          <w:b/>
          <w:color w:val="000000" w:themeColor="text1"/>
          <w:sz w:val="32"/>
          <w:szCs w:val="32"/>
          <w14:textFill>
            <w14:solidFill>
              <w14:schemeClr w14:val="tx1"/>
            </w14:solidFill>
          </w14:textFill>
        </w:rPr>
      </w:pPr>
      <w:r>
        <w:rPr>
          <w:rFonts w:hint="eastAsia" w:ascii="仿宋_GB2312" w:hAnsi="华文仿宋" w:eastAsia="仿宋_GB2312"/>
          <w:b/>
          <w:bCs/>
          <w:color w:val="000000" w:themeColor="text1"/>
          <w:sz w:val="32"/>
          <w:szCs w:val="32"/>
          <w14:textFill>
            <w14:solidFill>
              <w14:schemeClr w14:val="tx1"/>
            </w14:solidFill>
          </w14:textFill>
        </w:rPr>
        <w:t>加快数字政府建设。</w:t>
      </w:r>
      <w:r>
        <w:rPr>
          <w:rFonts w:hint="eastAsia" w:ascii="仿宋_GB2312" w:hAnsi="华文仿宋" w:eastAsia="仿宋_GB2312"/>
          <w:color w:val="000000" w:themeColor="text1"/>
          <w:sz w:val="32"/>
          <w:szCs w:val="32"/>
          <w14:textFill>
            <w14:solidFill>
              <w14:schemeClr w14:val="tx1"/>
            </w14:solidFill>
          </w14:textFill>
        </w:rPr>
        <w:t>加强公共数据资源统一规范管理，建设一体化信息管理平台，实现跨部门、跨层级数据互联互通、互惠共享。加强政务信息化建设快速迭代，增强政务信息系统弹性扩展能力，打造集视觉展示、数据分析、决策参考与指挥管理于一体的“数据驾驶舱”，实现“一网通城乡、一窗理政务、一号连民生、一舱治全域”，提升跨部门协同治理能力，</w:t>
      </w:r>
      <w:r>
        <w:rPr>
          <w:rFonts w:hint="eastAsia" w:ascii="仿宋_GB2312" w:hAnsi="华文仿宋" w:eastAsia="仿宋_GB2312"/>
          <w:bCs/>
          <w:color w:val="000000" w:themeColor="text1"/>
          <w:sz w:val="32"/>
          <w:szCs w:val="32"/>
          <w14:textFill>
            <w14:solidFill>
              <w14:schemeClr w14:val="tx1"/>
            </w14:solidFill>
          </w14:textFill>
        </w:rPr>
        <w:t>促进政府服务更便捷高效，社会治理能力更精准智慧，公共事件预警和应急管理更应对有力。</w:t>
      </w:r>
      <w:r>
        <w:rPr>
          <w:rFonts w:hint="eastAsia" w:ascii="仿宋_GB2312" w:hAnsi="华文仿宋" w:eastAsia="仿宋_GB2312"/>
          <w:color w:val="000000" w:themeColor="text1"/>
          <w:sz w:val="32"/>
          <w:szCs w:val="32"/>
          <w14:textFill>
            <w14:solidFill>
              <w14:schemeClr w14:val="tx1"/>
            </w14:solidFill>
          </w14:textFill>
        </w:rPr>
        <w:t>扩大公共数据有序安全开放，探索政府数据授权使用方式，鼓励公共数据资源挖掘利用。促进数据按管理权限向乡镇（街道）政府开放共享，推动基层治理、基层服务模式数字化智能化。</w:t>
      </w:r>
    </w:p>
    <w:p>
      <w:pPr>
        <w:ind w:firstLine="643"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加快数字社会建设步伐。</w:t>
      </w:r>
      <w:r>
        <w:rPr>
          <w:rFonts w:hint="eastAsia" w:ascii="仿宋_GB2312" w:hAnsi="华文仿宋" w:eastAsia="仿宋_GB2312"/>
          <w:color w:val="000000" w:themeColor="text1"/>
          <w:sz w:val="32"/>
          <w:szCs w:val="32"/>
          <w14:textFill>
            <w14:solidFill>
              <w14:schemeClr w14:val="tx1"/>
            </w14:solidFill>
          </w14:textFill>
        </w:rPr>
        <w:t>推进新型智慧城市建设，优化城市综合管理体系，创新社会综合治理模式。实施“智能雪亮工程”，整合县域监控视频基础设施，促进联网共享，实现态势感知、应急预警、管理决策和社会治理数字化。促进数字技术在城市管理、民生服务等领域创新应用与融合发展，推动智慧城管、智慧交通、智慧管网、智慧停车、智慧社区和智慧生活等城市智慧化应用场景建设。推进城市公共设施智慧化管理，推进数字技术在消防、公共照明、地下管网、水电缴费等领域应用。推广智能安防，构筑物业、业主、智能家居、社区服务四维场景生态链，打造智慧社区。深化数字技术在网络购物、虚拟点餐、智能家居等领域应用，打造民权数字支付示范街区。统筹城乡数字化发展，整合涉农数据资源，构建面向农业农村的综合信息服务体系。建设数字农业试点项目，推动农业产供销全链路数字化升级，支撑农村电商、特色旅游、智慧农业等深化拓展。推动“互联网+公共服务”，扩大智慧便捷的公共服务覆盖范围，持续提升群众获得感。</w:t>
      </w:r>
    </w:p>
    <w:p>
      <w:pPr>
        <w:ind w:firstLine="643"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提升数字化发展能力。</w:t>
      </w:r>
      <w:r>
        <w:rPr>
          <w:rFonts w:hint="eastAsia" w:ascii="仿宋_GB2312" w:hAnsi="华文仿宋" w:eastAsia="仿宋_GB2312"/>
          <w:color w:val="000000" w:themeColor="text1"/>
          <w:sz w:val="32"/>
          <w:szCs w:val="32"/>
          <w14:textFill>
            <w14:solidFill>
              <w14:schemeClr w14:val="tx1"/>
            </w14:solidFill>
          </w14:textFill>
        </w:rPr>
        <w:t>建设民权大数据中心，构建由基础数据库、主题数据库、部门共享库和支撑平台组成的民权云计算数据架构体系，为智慧民权建设提供基础支撑。加快数字产业园开发，建设信息创新产业园和大数据应用产业园，建设信息创新适配基地、大数据研发中心、大数据应用中心、双创孵化器、专家楼和职工宿舍等配套设施。统筹数据开发利用、隐私保护和公共安全。加强网络安全基础设施建设，强化数据资源全生命周期安全保护。加强网络安全风险评估、审查和检查，建立权责清晰的安全管理体系，筑牢网络安全防线。广泛开展网络安全宣传和保密教育，加强网络安全人才建设。</w:t>
      </w:r>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53" w:name="_Toc65849365"/>
      <w:bookmarkStart w:id="54" w:name="_Toc71192367"/>
      <w:r>
        <w:rPr>
          <w:rFonts w:hint="eastAsia" w:ascii="Times New Roman" w:hAnsi="Times New Roman" w:eastAsia="楷体"/>
          <w:bCs w:val="0"/>
          <w:color w:val="000000" w:themeColor="text1"/>
          <w:szCs w:val="20"/>
          <w14:textFill>
            <w14:solidFill>
              <w14:schemeClr w14:val="tx1"/>
            </w14:solidFill>
          </w14:textFill>
        </w:rPr>
        <w:t>第七节 优化产业空间布局</w:t>
      </w:r>
      <w:bookmarkEnd w:id="53"/>
      <w:bookmarkEnd w:id="54"/>
    </w:p>
    <w:p>
      <w:pPr>
        <w:adjustRightInd w:val="0"/>
        <w:snapToGrid w:val="0"/>
        <w:ind w:firstLine="640" w:firstLineChars="200"/>
        <w:outlineLvl w:val="2"/>
        <w:rPr>
          <w:rFonts w:ascii="Times New Roman" w:hAnsi="Times New Roman" w:eastAsia="楷体"/>
          <w:color w:val="000000" w:themeColor="text1"/>
          <w:sz w:val="32"/>
          <w:szCs w:val="32"/>
          <w14:textFill>
            <w14:solidFill>
              <w14:schemeClr w14:val="tx1"/>
            </w14:solidFill>
          </w14:textFill>
        </w:rPr>
      </w:pPr>
      <w:bookmarkStart w:id="55" w:name="_Toc71192368"/>
      <w:bookmarkStart w:id="56" w:name="_Toc65849366"/>
      <w:r>
        <w:rPr>
          <w:rFonts w:hint="eastAsia" w:ascii="Times New Roman" w:hAnsi="Times New Roman" w:eastAsia="楷体"/>
          <w:color w:val="000000" w:themeColor="text1"/>
          <w:sz w:val="32"/>
          <w:szCs w:val="32"/>
          <w14:textFill>
            <w14:solidFill>
              <w14:schemeClr w14:val="tx1"/>
            </w14:solidFill>
          </w14:textFill>
        </w:rPr>
        <w:t>（一）促进各产业合理布局</w:t>
      </w:r>
      <w:bookmarkEnd w:id="55"/>
      <w:bookmarkEnd w:id="56"/>
    </w:p>
    <w:p>
      <w:pPr>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大工业向高新区集中，</w:t>
      </w:r>
      <w:r>
        <w:rPr>
          <w:rFonts w:hint="eastAsia" w:ascii="仿宋_GB2312" w:eastAsia="仿宋_GB2312"/>
          <w:color w:val="000000" w:themeColor="text1"/>
          <w:sz w:val="32"/>
          <w:szCs w:val="32"/>
          <w14:textFill>
            <w14:solidFill>
              <w14:schemeClr w14:val="tx1"/>
            </w14:solidFill>
          </w14:textFill>
        </w:rPr>
        <w:t>力争2025年末园区企业占全县工业经济份额达85%以上，规模以上工业企业数量占全县90%以上。</w:t>
      </w:r>
      <w:r>
        <w:rPr>
          <w:rFonts w:hint="eastAsia" w:ascii="仿宋_GB2312" w:eastAsia="仿宋_GB2312"/>
          <w:b/>
          <w:color w:val="000000" w:themeColor="text1"/>
          <w:sz w:val="32"/>
          <w:szCs w:val="32"/>
          <w14:textFill>
            <w14:solidFill>
              <w14:schemeClr w14:val="tx1"/>
            </w14:solidFill>
          </w14:textFill>
        </w:rPr>
        <w:t>中小微向乡镇集中，</w:t>
      </w:r>
      <w:r>
        <w:rPr>
          <w:rFonts w:hint="eastAsia" w:ascii="仿宋_GB2312" w:eastAsia="仿宋_GB2312"/>
          <w:color w:val="000000" w:themeColor="text1"/>
          <w:sz w:val="32"/>
          <w:szCs w:val="32"/>
          <w14:textFill>
            <w14:solidFill>
              <w14:schemeClr w14:val="tx1"/>
            </w14:solidFill>
          </w14:textFill>
        </w:rPr>
        <w:t>加强乡镇工业园引导，完善工业园基础设施，扩大园区承载，支持北关、双塔等有条件的乡镇建设返乡创业园、工业园。</w:t>
      </w:r>
      <w:r>
        <w:rPr>
          <w:rFonts w:hint="eastAsia" w:ascii="仿宋_GB2312" w:eastAsia="仿宋_GB2312"/>
          <w:b/>
          <w:color w:val="000000" w:themeColor="text1"/>
          <w:sz w:val="32"/>
          <w:szCs w:val="32"/>
          <w14:textFill>
            <w14:solidFill>
              <w14:schemeClr w14:val="tx1"/>
            </w14:solidFill>
          </w14:textFill>
        </w:rPr>
        <w:t>高端服务业向城区集中，</w:t>
      </w:r>
      <w:r>
        <w:rPr>
          <w:rFonts w:hint="eastAsia" w:ascii="仿宋_GB2312" w:eastAsia="仿宋_GB2312"/>
          <w:color w:val="000000" w:themeColor="text1"/>
          <w:sz w:val="32"/>
          <w:szCs w:val="32"/>
          <w14:textFill>
            <w14:solidFill>
              <w14:schemeClr w14:val="tx1"/>
            </w14:solidFill>
          </w14:textFill>
        </w:rPr>
        <w:t>推动高端要素向中心城区集聚，建设现代服务业发展新高地，推动特色商业区向商务服务产业园转型升级。</w:t>
      </w:r>
      <w:r>
        <w:rPr>
          <w:rFonts w:hint="eastAsia" w:ascii="仿宋_GB2312" w:eastAsia="仿宋_GB2312"/>
          <w:b/>
          <w:color w:val="000000" w:themeColor="text1"/>
          <w:sz w:val="32"/>
          <w:szCs w:val="32"/>
          <w14:textFill>
            <w14:solidFill>
              <w14:schemeClr w14:val="tx1"/>
            </w14:solidFill>
          </w14:textFill>
        </w:rPr>
        <w:t>生态文化旅游产业全域化打造。</w:t>
      </w:r>
      <w:r>
        <w:rPr>
          <w:rFonts w:hint="eastAsia" w:ascii="仿宋_GB2312" w:eastAsia="仿宋_GB2312"/>
          <w:color w:val="000000" w:themeColor="text1"/>
          <w:sz w:val="32"/>
          <w:szCs w:val="32"/>
          <w14:textFill>
            <w14:solidFill>
              <w14:schemeClr w14:val="tx1"/>
            </w14:solidFill>
          </w14:textFill>
        </w:rPr>
        <w:t>探索生态优先、绿色发展为导向的高质量发展，构建大生态、大文旅格局，建设黄河故道生态旅游度假区、庄子小镇、葡萄小镇、民俗小镇。</w:t>
      </w:r>
      <w:r>
        <w:rPr>
          <w:rFonts w:hint="eastAsia" w:ascii="仿宋_GB2312" w:eastAsia="仿宋_GB2312"/>
          <w:b/>
          <w:color w:val="000000" w:themeColor="text1"/>
          <w:sz w:val="32"/>
          <w:szCs w:val="32"/>
          <w14:textFill>
            <w14:solidFill>
              <w14:schemeClr w14:val="tx1"/>
            </w14:solidFill>
          </w14:textFill>
        </w:rPr>
        <w:t>特色农业节点化网络化布局，</w:t>
      </w:r>
      <w:r>
        <w:rPr>
          <w:rFonts w:hint="eastAsia" w:ascii="仿宋_GB2312" w:eastAsia="仿宋_GB2312"/>
          <w:color w:val="000000" w:themeColor="text1"/>
          <w:sz w:val="32"/>
          <w:szCs w:val="32"/>
          <w14:textFill>
            <w14:solidFill>
              <w14:schemeClr w14:val="tx1"/>
            </w14:solidFill>
          </w14:textFill>
        </w:rPr>
        <w:t>因地制宜，打造县、乡、村布局合理、特色明显、质量上乘的特色农业新格局，促进特色农业、休闲观光农业与乡村文化民俗旅游融合开发，推动一二三产融合发展。</w:t>
      </w:r>
    </w:p>
    <w:p>
      <w:pPr>
        <w:adjustRightInd w:val="0"/>
        <w:snapToGrid w:val="0"/>
        <w:ind w:firstLine="640" w:firstLineChars="200"/>
        <w:outlineLvl w:val="2"/>
        <w:rPr>
          <w:rFonts w:ascii="Times New Roman" w:hAnsi="Times New Roman" w:eastAsia="楷体"/>
          <w:color w:val="000000" w:themeColor="text1"/>
          <w:sz w:val="32"/>
          <w:szCs w:val="32"/>
          <w14:textFill>
            <w14:solidFill>
              <w14:schemeClr w14:val="tx1"/>
            </w14:solidFill>
          </w14:textFill>
        </w:rPr>
      </w:pPr>
      <w:bookmarkStart w:id="57" w:name="_Toc71192369"/>
      <w:bookmarkStart w:id="58" w:name="_Toc65849367"/>
      <w:r>
        <w:rPr>
          <w:rFonts w:hint="eastAsia" w:ascii="Times New Roman" w:hAnsi="Times New Roman" w:eastAsia="楷体"/>
          <w:color w:val="000000" w:themeColor="text1"/>
          <w:sz w:val="32"/>
          <w:szCs w:val="32"/>
          <w14:textFill>
            <w14:solidFill>
              <w14:schemeClr w14:val="tx1"/>
            </w14:solidFill>
          </w14:textFill>
        </w:rPr>
        <w:t>（二）建设各具特色工业园</w:t>
      </w:r>
      <w:bookmarkEnd w:id="57"/>
      <w:bookmarkEnd w:id="58"/>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注重县域产业协同提升，打造标准化乡镇工业园。统筹用地指标，推动工业用地指标向发展后劲足的园区适度倾斜，加快完善工业园基础设施。加快项目导入和建设力度，鼓励结合自身实际和比较优势，建设各具特色工业园、返乡创业园、小微企业园。坚持生态环保、科技含量和有利于可持续发展的原则，严把项目入园关，适当放宽劳动密集、技术密集项目要求，优先考虑市场前景好、发展潜力大、科技含量高的项目。</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7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shd w:val="clear" w:color="auto" w:fill="auto"/>
            <w:vAlign w:val="center"/>
          </w:tcPr>
          <w:p>
            <w:pPr>
              <w:snapToGrid w:val="0"/>
              <w:rPr>
                <w:rFonts w:ascii="宋体" w:hAnsi="宋体"/>
                <w:color w:val="000000" w:themeColor="text1"/>
                <w:szCs w:val="21"/>
                <w14:textFill>
                  <w14:solidFill>
                    <w14:schemeClr w14:val="tx1"/>
                  </w14:solidFill>
                </w14:textFill>
              </w:rPr>
            </w:pPr>
            <w:r>
              <w:rPr>
                <w:rFonts w:hint="eastAsia" w:ascii="Times New Roman" w:hAnsi="Times New Roman" w:eastAsia="黑体"/>
                <w:bCs/>
                <w:color w:val="000000" w:themeColor="text1"/>
                <w:sz w:val="24"/>
                <w:szCs w:val="24"/>
                <w14:textFill>
                  <w14:solidFill>
                    <w14:schemeClr w14:val="tx1"/>
                  </w14:solidFill>
                </w14:textFill>
              </w:rPr>
              <w:t>专栏3-6：乡镇工业园、创业园引导方向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孙六镇工业园</w:t>
            </w:r>
          </w:p>
        </w:tc>
        <w:tc>
          <w:tcPr>
            <w:tcW w:w="7563" w:type="dxa"/>
            <w:shd w:val="clear" w:color="auto" w:fill="auto"/>
            <w:vAlign w:val="center"/>
          </w:tcPr>
          <w:p>
            <w:pPr>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壮大电力、新型建材、循环经济支柱产业，引导用电、用气、用热偏向产业集聚，引进上下游配套企业，拉长产业链条，壮大产业规模。扩大、提升园区承载。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龙塘镇工业园</w:t>
            </w:r>
          </w:p>
        </w:tc>
        <w:tc>
          <w:tcPr>
            <w:tcW w:w="7563" w:type="dxa"/>
            <w:shd w:val="clear" w:color="auto" w:fill="auto"/>
            <w:vAlign w:val="center"/>
          </w:tcPr>
          <w:p>
            <w:pPr>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吸引返乡创业，建设不锈钢产业园，加快艾草产业园建设。引导食用菌、艾草、辣椒、果酒饮料等农副产品企业向农工贸一体化全产业链发展。促进金属塑胶制品、灯具照明、新型建材、家居装潢装饰、服装加工等产业集聚发展，建设城郊加工商贸型工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人和镇工业园</w:t>
            </w:r>
          </w:p>
        </w:tc>
        <w:tc>
          <w:tcPr>
            <w:tcW w:w="7563" w:type="dxa"/>
            <w:shd w:val="clear" w:color="auto" w:fill="auto"/>
            <w:vAlign w:val="center"/>
          </w:tcPr>
          <w:p>
            <w:pPr>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扩建园区面积至15</w:t>
            </w:r>
            <w:r>
              <w:rPr>
                <w:rFonts w:ascii="宋体" w:hAnsi="宋体"/>
                <w:color w:val="000000" w:themeColor="text1"/>
                <w:szCs w:val="21"/>
                <w14:textFill>
                  <w14:solidFill>
                    <w14:schemeClr w14:val="tx1"/>
                  </w14:solidFill>
                </w14:textFill>
              </w:rPr>
              <w:t>00</w:t>
            </w:r>
            <w:r>
              <w:rPr>
                <w:rFonts w:hint="eastAsia" w:ascii="宋体" w:hAnsi="宋体"/>
                <w:color w:val="000000" w:themeColor="text1"/>
                <w:szCs w:val="21"/>
                <w14:textFill>
                  <w14:solidFill>
                    <w14:schemeClr w14:val="tx1"/>
                  </w14:solidFill>
                </w14:textFill>
              </w:rPr>
              <w:t>亩，修建水电路基础设施，建设标准化厂房50栋。实现入驻园区企业</w:t>
            </w:r>
            <w:r>
              <w:rPr>
                <w:rFonts w:ascii="宋体" w:hAnsi="宋体"/>
                <w:color w:val="000000" w:themeColor="text1"/>
                <w:szCs w:val="21"/>
                <w14:textFill>
                  <w14:solidFill>
                    <w14:schemeClr w14:val="tx1"/>
                  </w14:solidFill>
                </w14:textFill>
              </w:rPr>
              <w:t>50</w:t>
            </w:r>
            <w:r>
              <w:rPr>
                <w:rFonts w:hint="eastAsia" w:ascii="宋体" w:hAnsi="宋体"/>
                <w:color w:val="000000" w:themeColor="text1"/>
                <w:szCs w:val="21"/>
                <w14:textFill>
                  <w14:solidFill>
                    <w14:schemeClr w14:val="tx1"/>
                  </w14:solidFill>
                </w14:textFill>
              </w:rPr>
              <w:t>家，年营业收入10亿元。着力培育葡萄加工产业，优化新型材料、光伏设备及配件加工、卫生洗护消杀用品、果酒饮料加工等产业布局，</w:t>
            </w:r>
            <w:r>
              <w:rPr>
                <w:rFonts w:ascii="宋体" w:hAnsi="宋体"/>
                <w:color w:val="000000" w:themeColor="text1"/>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程庄镇工业园</w:t>
            </w:r>
          </w:p>
        </w:tc>
        <w:tc>
          <w:tcPr>
            <w:tcW w:w="7563" w:type="dxa"/>
            <w:shd w:val="clear" w:color="auto" w:fill="auto"/>
            <w:vAlign w:val="center"/>
          </w:tcPr>
          <w:p>
            <w:pPr>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引导劳动密集型产业入驻，促进食品、果酒、服饰、制鞋、木材、渔具加工向专业、品质、集群化转变。导入新能源发电和储能产业，推动新型建材、装修装饰材料、共享智能设备产业发展壮大。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王桥镇工业园</w:t>
            </w:r>
          </w:p>
        </w:tc>
        <w:tc>
          <w:tcPr>
            <w:tcW w:w="7563" w:type="dxa"/>
            <w:shd w:val="clear" w:color="auto" w:fill="auto"/>
            <w:vAlign w:val="center"/>
          </w:tcPr>
          <w:p>
            <w:pPr>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做优麻花、果酒、红薯、山药、水产品等农副产品深加工产业，加快建材、通风设备、服装制鞋箱包等产业导入。加快完善工业园基础设施，合理引导功能分区。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白云寺镇工业园</w:t>
            </w:r>
          </w:p>
        </w:tc>
        <w:tc>
          <w:tcPr>
            <w:tcW w:w="7563" w:type="dxa"/>
            <w:shd w:val="clear" w:color="auto" w:fill="auto"/>
            <w:vAlign w:val="center"/>
          </w:tcPr>
          <w:p>
            <w:pPr>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引导制鞋皮具、休闲食品、宠物食品、农副产品深加工企业向园区集中，打造服饰、轻工产品特色，提升石油钻采产品及技术服务、建筑装修工程服务影响力，加快培育食品加工、工程设备制造和服务主导产业。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北关镇返乡创业园</w:t>
            </w:r>
          </w:p>
        </w:tc>
        <w:tc>
          <w:tcPr>
            <w:tcW w:w="7563" w:type="dxa"/>
            <w:shd w:val="clear" w:color="auto" w:fill="auto"/>
            <w:vAlign w:val="center"/>
          </w:tcPr>
          <w:p>
            <w:pPr>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鼓励返乡创业，建设返乡创业园，投资5亿元，建设园区道路、电力、燃气、厂房、污水处理厂、地下管网、绿化等配套设施。做大食品加工，做优农特产品加工，培育形成制鞋、鞋材企业集群，促进新型建材、环保材料、新材料企业提质增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双塔镇西部工业园</w:t>
            </w:r>
          </w:p>
        </w:tc>
        <w:tc>
          <w:tcPr>
            <w:tcW w:w="7563" w:type="dxa"/>
            <w:shd w:val="clear" w:color="auto" w:fill="auto"/>
            <w:vAlign w:val="center"/>
          </w:tcPr>
          <w:p>
            <w:pPr>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发挥毗邻兰考县城优势，争取全域土地综合整治项目，投资建设西部工业园，占地500亩，预计投资3亿元，建设道路、电、气、水、网、绿化等基础设施。发展花生、韭菜等农产品、绿色食品加工和家居制造、木制品产业。建设“高科技产业园”“韭菜基地”，结合秣坡红色基地、当地传统木制工艺，打造一个集红色教育、人文交流、绿色产业为一体的工业园区。</w:t>
            </w:r>
          </w:p>
        </w:tc>
      </w:tr>
    </w:tbl>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59" w:name="_Toc71192370"/>
      <w:bookmarkStart w:id="60" w:name="_Toc65849368"/>
      <w:r>
        <w:rPr>
          <w:rFonts w:hint="eastAsia" w:ascii="Times New Roman" w:hAnsi="Times New Roman" w:eastAsia="楷体"/>
          <w:bCs w:val="0"/>
          <w:color w:val="000000" w:themeColor="text1"/>
          <w:szCs w:val="20"/>
          <w14:textFill>
            <w14:solidFill>
              <w14:schemeClr w14:val="tx1"/>
            </w14:solidFill>
          </w14:textFill>
        </w:rPr>
        <w:t>第八节 加强质量品牌建设</w:t>
      </w:r>
      <w:bookmarkEnd w:id="59"/>
      <w:bookmarkEnd w:id="60"/>
    </w:p>
    <w:p>
      <w:pPr>
        <w:adjustRightInd w:val="0"/>
        <w:snapToGrid w:val="0"/>
        <w:ind w:firstLine="640" w:firstLineChars="200"/>
        <w:outlineLvl w:val="2"/>
        <w:rPr>
          <w:rFonts w:ascii="Times New Roman" w:hAnsi="Times New Roman" w:eastAsia="楷体"/>
          <w:color w:val="000000" w:themeColor="text1"/>
          <w:sz w:val="32"/>
          <w:szCs w:val="32"/>
          <w14:textFill>
            <w14:solidFill>
              <w14:schemeClr w14:val="tx1"/>
            </w14:solidFill>
          </w14:textFill>
        </w:rPr>
      </w:pPr>
      <w:bookmarkStart w:id="61" w:name="_Toc71192371"/>
      <w:bookmarkStart w:id="62" w:name="_Toc65849369"/>
      <w:r>
        <w:rPr>
          <w:rFonts w:hint="eastAsia" w:ascii="Times New Roman" w:hAnsi="Times New Roman" w:eastAsia="楷体"/>
          <w:color w:val="000000" w:themeColor="text1"/>
          <w:sz w:val="32"/>
          <w:szCs w:val="32"/>
          <w14:textFill>
            <w14:solidFill>
              <w14:schemeClr w14:val="tx1"/>
            </w14:solidFill>
          </w14:textFill>
        </w:rPr>
        <w:t>（一）实施质量强县战略</w:t>
      </w:r>
      <w:bookmarkEnd w:id="61"/>
      <w:bookmarkEnd w:id="62"/>
    </w:p>
    <w:p>
      <w:pPr>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完善质量基础设施。</w:t>
      </w:r>
      <w:r>
        <w:rPr>
          <w:rFonts w:hint="eastAsia" w:ascii="仿宋_GB2312" w:eastAsia="仿宋_GB2312"/>
          <w:color w:val="000000" w:themeColor="text1"/>
          <w:sz w:val="32"/>
          <w:szCs w:val="32"/>
          <w14:textFill>
            <w14:solidFill>
              <w14:schemeClr w14:val="tx1"/>
            </w14:solidFill>
          </w14:textFill>
        </w:rPr>
        <w:t>加强标准、计量、认证、检验检测等体系和能力建设，对标国际国内先进水平，参与制定优势行业和优势产品标准，支持建立健全服务标准。全面加强国家制冷设备质量监督检验中心、河南省葡萄酒质量监督检验中心、民权县综合检测中心建设，搭建技术先进、功能齐全、服务一体的检测服务体系。针对制冷电器、葡萄酒、农产品、食品、家用电器等消费领域高端化、绿色化、智能化发展，提供质量基础设施“一站式”服务，开展全方位“质量体检”，</w:t>
      </w:r>
      <w:r>
        <w:rPr>
          <w:rFonts w:ascii="仿宋_GB2312" w:eastAsia="仿宋_GB2312"/>
          <w:color w:val="000000" w:themeColor="text1"/>
          <w:sz w:val="32"/>
          <w:szCs w:val="32"/>
          <w14:textFill>
            <w14:solidFill>
              <w14:schemeClr w14:val="tx1"/>
            </w14:solidFill>
          </w14:textFill>
        </w:rPr>
        <w:t>着力提升产品附加值、可靠性和竞争力。</w:t>
      </w:r>
    </w:p>
    <w:p>
      <w:pPr>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强化质量监管。</w:t>
      </w:r>
      <w:r>
        <w:rPr>
          <w:rFonts w:hint="eastAsia" w:ascii="仿宋_GB2312" w:eastAsia="仿宋_GB2312"/>
          <w:color w:val="000000" w:themeColor="text1"/>
          <w:sz w:val="32"/>
          <w:szCs w:val="32"/>
          <w14:textFill>
            <w14:solidFill>
              <w14:schemeClr w14:val="tx1"/>
            </w14:solidFill>
          </w14:textFill>
        </w:rPr>
        <w:t>落实企业质量主体责任，促进质量技术创新，推动企业完善质量管理体系。着力提升产品质量，推动企业设立首席质量官制度，引导企业优化生产工艺、更新生产设备、创新管理模式，提高产品合格率。依法严厉打击质量违法行为，完善质量投诉和消费维权机制。着力抓好消费品、农产品、食品药品质量安全。</w:t>
      </w:r>
    </w:p>
    <w:p>
      <w:pPr>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塑造质量文化。</w:t>
      </w:r>
      <w:r>
        <w:rPr>
          <w:rFonts w:hint="eastAsia" w:ascii="仿宋_GB2312" w:eastAsia="仿宋_GB2312"/>
          <w:color w:val="000000" w:themeColor="text1"/>
          <w:sz w:val="32"/>
          <w:szCs w:val="32"/>
          <w14:textFill>
            <w14:solidFill>
              <w14:schemeClr w14:val="tx1"/>
            </w14:solidFill>
          </w14:textFill>
        </w:rPr>
        <w:t>强化质量激励作用，健全质量评价考核机制，完善质量标杆培育机制，完成河南省质量强县示范县创建。做好县长质量奖评选，培育申报一批省长质量奖、市长质量奖企业。加强舆论宣传，开展质量进基层活动，巩固质量强县地位。开展商标和地理标志产品培育工作，“十四五”期间商标注册量增长20%以上，中国驰名商标数量拥有15个，通过体系认证证书保有量150个，地理标志商标和省长质量奖企业、中国发明奖等力争实现“零”的突破，每万人口拥有高质量发明专利数大幅增加。</w:t>
      </w:r>
    </w:p>
    <w:p>
      <w:pPr>
        <w:adjustRightInd w:val="0"/>
        <w:snapToGrid w:val="0"/>
        <w:ind w:firstLine="640" w:firstLineChars="200"/>
        <w:outlineLvl w:val="2"/>
        <w:rPr>
          <w:rFonts w:ascii="Times New Roman" w:hAnsi="Times New Roman" w:eastAsia="楷体"/>
          <w:color w:val="000000" w:themeColor="text1"/>
          <w:sz w:val="32"/>
          <w:szCs w:val="32"/>
          <w14:textFill>
            <w14:solidFill>
              <w14:schemeClr w14:val="tx1"/>
            </w14:solidFill>
          </w14:textFill>
        </w:rPr>
      </w:pPr>
      <w:bookmarkStart w:id="63" w:name="_Toc65849370"/>
      <w:bookmarkStart w:id="64" w:name="_Toc71192372"/>
      <w:r>
        <w:rPr>
          <w:rFonts w:hint="eastAsia" w:ascii="Times New Roman" w:hAnsi="Times New Roman" w:eastAsia="楷体"/>
          <w:color w:val="000000" w:themeColor="text1"/>
          <w:sz w:val="32"/>
          <w:szCs w:val="32"/>
          <w14:textFill>
            <w14:solidFill>
              <w14:schemeClr w14:val="tx1"/>
            </w14:solidFill>
          </w14:textFill>
        </w:rPr>
        <w:t>（二）打造地域品牌高地</w:t>
      </w:r>
      <w:bookmarkEnd w:id="63"/>
      <w:bookmarkEnd w:id="64"/>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围绕主导特色产业，加大名特优产品培育力度，推动形成以技术、标准、质量、原产地、品牌为核心的竞争新优势，增强质量品牌对经济发展的贡献。支持企业加大研发与智力投入，鼓励企业自主创新，提高企业知识产权和专利创造能力。鼓励企业承担（参与）制定国家标准、行业标准，倾力打造民权标准。围绕“冷”字创品牌，围绕“酒”字做文章，鼓励企业走出去，扩大优势品牌国际影响力。</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加强民权葡萄、民权花生原产地保护，建设绿色农业标准化示范区。培育龙头企业，延伸农副产品加工产业链，壮大葡萄酒品牌，促进葡萄、花生、面粉、麻花、艾草、辣椒、酥梨等产品向品牌转化。加强生态文旅资源开发，打造庄子文化、虎文化品牌和黄河故道旅游休闲品牌。发挥“全市知识产权强县工程试点县”优势，加强知识产权、商标品牌保护和创造，突出驰名商标、地理标志、专利发明等知识产权带动作用，增强品牌标识和符号印记，形成民权地域品牌集群，建设豫东商标品牌高地。</w:t>
      </w:r>
      <w:r>
        <w:rPr>
          <w:rFonts w:ascii="仿宋_GB2312" w:eastAsia="仿宋_GB2312"/>
          <w:color w:val="000000" w:themeColor="text1"/>
          <w:sz w:val="32"/>
          <w:szCs w:val="32"/>
          <w14:textFill>
            <w14:solidFill>
              <w14:schemeClr w14:val="tx1"/>
            </w14:solidFill>
          </w14:textFill>
        </w:rPr>
        <w:br w:type="page"/>
      </w:r>
    </w:p>
    <w:p>
      <w:pPr>
        <w:pStyle w:val="2"/>
        <w:adjustRightInd w:val="0"/>
        <w:snapToGrid w:val="0"/>
        <w:spacing w:before="156" w:beforeLines="50" w:after="156" w:afterLines="50" w:line="240" w:lineRule="auto"/>
        <w:jc w:val="center"/>
        <w:rPr>
          <w:rFonts w:ascii="Times New Roman" w:hAnsi="Times New Roman" w:eastAsia="黑体"/>
          <w:b w:val="0"/>
          <w:color w:val="000000" w:themeColor="text1"/>
          <w:sz w:val="32"/>
          <w14:textFill>
            <w14:solidFill>
              <w14:schemeClr w14:val="tx1"/>
            </w14:solidFill>
          </w14:textFill>
        </w:rPr>
      </w:pPr>
      <w:bookmarkStart w:id="65" w:name="_Toc71192373"/>
      <w:r>
        <w:rPr>
          <w:rFonts w:hint="eastAsia" w:ascii="Times New Roman" w:hAnsi="Times New Roman" w:eastAsia="黑体"/>
          <w:b w:val="0"/>
          <w:color w:val="000000" w:themeColor="text1"/>
          <w:sz w:val="32"/>
          <w14:textFill>
            <w14:solidFill>
              <w14:schemeClr w14:val="tx1"/>
            </w14:solidFill>
          </w14:textFill>
        </w:rPr>
        <w:t>第四章 优先发展农业农村，建设高水平乡村振兴示范城</w:t>
      </w:r>
      <w:bookmarkEnd w:id="65"/>
    </w:p>
    <w:p>
      <w:pPr>
        <w:ind w:firstLine="640" w:firstLineChars="200"/>
        <w:rPr>
          <w:rFonts w:ascii="仿宋_GB2312" w:hAnsi="仿宋" w:eastAsia="仿宋_GB2312"/>
          <w:color w:val="000000" w:themeColor="text1"/>
          <w:sz w:val="32"/>
          <w:szCs w:val="32"/>
          <w14:textFill>
            <w14:solidFill>
              <w14:schemeClr w14:val="tx1"/>
            </w14:solidFill>
          </w14:textFill>
        </w:rPr>
      </w:pPr>
      <w:bookmarkStart w:id="66" w:name="_Toc50299585"/>
      <w:r>
        <w:rPr>
          <w:rFonts w:hint="eastAsia" w:ascii="仿宋_GB2312" w:hAnsi="仿宋" w:eastAsia="仿宋_GB2312"/>
          <w:color w:val="000000" w:themeColor="text1"/>
          <w:sz w:val="32"/>
          <w:szCs w:val="32"/>
          <w14:textFill>
            <w14:solidFill>
              <w14:schemeClr w14:val="tx1"/>
            </w14:solidFill>
          </w14:textFill>
        </w:rPr>
        <w:t>把“三农”工作作为重中之重，以乡村振兴为主线，扛牢国家粮食安全重任，提高农业质量效益和竞争力，实施乡村建设行动，推动巩固拓展脱贫攻坚成果与乡村振兴有效衔接，强化以工补农、以城带乡，加快形成工农互促、城乡互补、协调发展、共同繁荣的新型工农城乡关系，建设高水平乡村振兴示范城。</w:t>
      </w:r>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67" w:name="_Toc71192374"/>
      <w:bookmarkStart w:id="68" w:name="_Toc62400258"/>
      <w:r>
        <w:rPr>
          <w:rFonts w:hint="eastAsia" w:ascii="Times New Roman" w:hAnsi="Times New Roman" w:eastAsia="楷体"/>
          <w:bCs w:val="0"/>
          <w:color w:val="000000" w:themeColor="text1"/>
          <w:szCs w:val="20"/>
          <w14:textFill>
            <w14:solidFill>
              <w14:schemeClr w14:val="tx1"/>
            </w14:solidFill>
          </w14:textFill>
        </w:rPr>
        <w:t>第一节 扛牢国家粮食安全重任</w:t>
      </w:r>
      <w:bookmarkEnd w:id="67"/>
      <w:bookmarkEnd w:id="68"/>
    </w:p>
    <w:p>
      <w:pPr>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s="仿宋"/>
          <w:b/>
          <w:color w:val="000000" w:themeColor="text1"/>
          <w:sz w:val="32"/>
          <w:szCs w:val="32"/>
          <w14:textFill>
            <w14:solidFill>
              <w14:schemeClr w14:val="tx1"/>
            </w14:solidFill>
          </w14:textFill>
        </w:rPr>
        <w:t>全力抓好粮食生产。</w:t>
      </w:r>
      <w:r>
        <w:rPr>
          <w:rFonts w:hint="eastAsia" w:ascii="仿宋_GB2312" w:hAnsi="仿宋" w:eastAsia="仿宋_GB2312" w:cs="仿宋"/>
          <w:color w:val="000000" w:themeColor="text1"/>
          <w:sz w:val="32"/>
          <w:szCs w:val="32"/>
          <w14:textFill>
            <w14:solidFill>
              <w14:schemeClr w14:val="tx1"/>
            </w14:solidFill>
          </w14:textFill>
        </w:rPr>
        <w:t>以保障国家粮食安全为底线，实施粮食生产核心功能区建设行动。落实粮食安全责任制，</w:t>
      </w:r>
      <w:r>
        <w:rPr>
          <w:rFonts w:hint="eastAsia" w:ascii="仿宋_GB2312" w:hAnsi="仿宋" w:eastAsia="仿宋_GB2312"/>
          <w:color w:val="000000" w:themeColor="text1"/>
          <w:sz w:val="32"/>
          <w:szCs w:val="32"/>
          <w14:textFill>
            <w14:solidFill>
              <w14:schemeClr w14:val="tx1"/>
            </w14:solidFill>
          </w14:textFill>
        </w:rPr>
        <w:t>以“稳定面积、主攻单产、优化品质、提高效益”为目标，毫不放松粮食生产，到2025年，确保全县粮食种植面积稳定在162.22万亩以上，粮食产量稳定在14.89亿斤以上。</w:t>
      </w:r>
      <w:r>
        <w:rPr>
          <w:rFonts w:hint="eastAsia" w:ascii="仿宋_GB2312" w:hAnsi="仿宋" w:eastAsia="仿宋_GB2312" w:cs="仿宋"/>
          <w:color w:val="000000" w:themeColor="text1"/>
          <w:sz w:val="32"/>
          <w:szCs w:val="32"/>
          <w14:textFill>
            <w14:solidFill>
              <w14:schemeClr w14:val="tx1"/>
            </w14:solidFill>
          </w14:textFill>
        </w:rPr>
        <w:t>实施优质粮食工程，</w:t>
      </w:r>
      <w:r>
        <w:rPr>
          <w:rFonts w:hint="eastAsia" w:ascii="仿宋_GB2312" w:hAnsi="仿宋" w:eastAsia="仿宋_GB2312"/>
          <w:color w:val="000000" w:themeColor="text1"/>
          <w:sz w:val="32"/>
          <w:szCs w:val="32"/>
          <w14:textFill>
            <w14:solidFill>
              <w14:schemeClr w14:val="tx1"/>
            </w14:solidFill>
          </w14:textFill>
        </w:rPr>
        <w:t>推动优质小麦规模化、专业化、区域化种植，打造</w:t>
      </w:r>
      <w:r>
        <w:rPr>
          <w:rFonts w:hint="eastAsia" w:ascii="仿宋_GB2312" w:hAnsi="仿宋" w:eastAsia="仿宋_GB2312" w:cs="仿宋"/>
          <w:color w:val="000000" w:themeColor="text1"/>
          <w:sz w:val="32"/>
          <w:szCs w:val="32"/>
          <w14:textFill>
            <w14:solidFill>
              <w14:schemeClr w14:val="tx1"/>
            </w14:solidFill>
          </w14:textFill>
        </w:rPr>
        <w:t>优质小麦示范区，</w:t>
      </w:r>
      <w:r>
        <w:rPr>
          <w:rFonts w:hint="eastAsia" w:ascii="仿宋_GB2312" w:hAnsi="仿宋" w:eastAsia="仿宋_GB2312"/>
          <w:color w:val="000000" w:themeColor="text1"/>
          <w:sz w:val="32"/>
          <w:szCs w:val="32"/>
          <w14:textFill>
            <w14:solidFill>
              <w14:schemeClr w14:val="tx1"/>
            </w14:solidFill>
          </w14:textFill>
        </w:rPr>
        <w:t>到2025年，优质小麦种植面积达25万亩以上，</w:t>
      </w:r>
      <w:r>
        <w:rPr>
          <w:rFonts w:hint="eastAsia" w:ascii="仿宋_GB2312" w:hAnsi="仿宋" w:eastAsia="仿宋_GB2312" w:cs="仿宋"/>
          <w:color w:val="000000" w:themeColor="text1"/>
          <w:sz w:val="32"/>
          <w:szCs w:val="32"/>
          <w14:textFill>
            <w14:solidFill>
              <w14:schemeClr w14:val="tx1"/>
            </w14:solidFill>
          </w14:textFill>
        </w:rPr>
        <w:t>推进粮食大县向粮食强县转变</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加大种粮支持力度，千方百计调动农民种粮积极性，探索粮食主产区和主销区对接合作机制。</w:t>
      </w:r>
    </w:p>
    <w:p>
      <w:pPr>
        <w:ind w:firstLine="643"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加强耕地保护和高标准农田建设。</w:t>
      </w:r>
      <w:r>
        <w:rPr>
          <w:rFonts w:hint="eastAsia" w:ascii="仿宋_GB2312" w:hAnsi="仿宋" w:eastAsia="仿宋_GB2312" w:cs="仿宋"/>
          <w:color w:val="000000" w:themeColor="text1"/>
          <w:sz w:val="32"/>
          <w:szCs w:val="32"/>
          <w14:textFill>
            <w14:solidFill>
              <w14:schemeClr w14:val="tx1"/>
            </w14:solidFill>
          </w14:textFill>
        </w:rPr>
        <w:t>深入落实“藏粮于地、藏粮于技”战略，坚持最严格的耕地保护制度，</w:t>
      </w:r>
      <w:r>
        <w:rPr>
          <w:rFonts w:hint="eastAsia" w:ascii="仿宋_GB2312" w:hAnsi="仿宋" w:eastAsia="仿宋_GB2312"/>
          <w:color w:val="000000" w:themeColor="text1"/>
          <w:sz w:val="32"/>
          <w:szCs w:val="32"/>
          <w14:textFill>
            <w14:solidFill>
              <w14:schemeClr w14:val="tx1"/>
            </w14:solidFill>
          </w14:textFill>
        </w:rPr>
        <w:t>落实永久基本农田保护制度，全面推行“一网田长制”，</w:t>
      </w:r>
      <w:r>
        <w:rPr>
          <w:rFonts w:hint="eastAsia" w:ascii="仿宋_GB2312" w:hAnsi="仿宋" w:eastAsia="仿宋_GB2312" w:cs="仿宋"/>
          <w:color w:val="000000" w:themeColor="text1"/>
          <w:sz w:val="32"/>
          <w:szCs w:val="32"/>
          <w14:textFill>
            <w14:solidFill>
              <w14:schemeClr w14:val="tx1"/>
            </w14:solidFill>
          </w14:textFill>
        </w:rPr>
        <w:t>坚决遏制耕地“非农化”，防止耕地“非粮化”，开展耕地质量等级调查评价，实施耕地质量保护提升行动</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推进高标准农田建设，</w:t>
      </w:r>
      <w:r>
        <w:rPr>
          <w:rFonts w:hint="eastAsia" w:ascii="仿宋_GB2312" w:hAnsi="仿宋" w:eastAsia="仿宋_GB2312"/>
          <w:color w:val="000000" w:themeColor="text1"/>
          <w:sz w:val="32"/>
          <w:szCs w:val="32"/>
          <w14:textFill>
            <w14:solidFill>
              <w14:schemeClr w14:val="tx1"/>
            </w14:solidFill>
          </w14:textFill>
        </w:rPr>
        <w:t>提升农田路网、林网、电网、水网、管网建设力度和后期管护水平。加强土壤改良，全面改造中低产田，“十四五”期间建设集中连片、旱涝保收、节水高效、稳产高产的高标准农田35万亩，打造一批万亩以上高标准农田示范方。</w:t>
      </w:r>
    </w:p>
    <w:p>
      <w:pPr>
        <w:ind w:firstLine="643" w:firstLineChars="200"/>
        <w:rPr>
          <w:rFonts w:ascii="仿宋_GB2312" w:hAnsi="仿宋" w:eastAsia="仿宋_GB2312"/>
          <w:color w:val="000000" w:themeColor="text1"/>
          <w:sz w:val="32"/>
          <w:szCs w:val="32"/>
          <w14:textFill>
            <w14:solidFill>
              <w14:schemeClr w14:val="tx1"/>
            </w14:solidFill>
          </w14:textFill>
        </w:rPr>
      </w:pPr>
      <w:bookmarkStart w:id="69" w:name="_Toc62400259"/>
      <w:r>
        <w:rPr>
          <w:rFonts w:hint="eastAsia" w:ascii="仿宋_GB2312" w:hAnsi="仿宋" w:eastAsia="仿宋_GB2312"/>
          <w:b/>
          <w:color w:val="000000" w:themeColor="text1"/>
          <w:sz w:val="32"/>
          <w:szCs w:val="32"/>
          <w14:textFill>
            <w14:solidFill>
              <w14:schemeClr w14:val="tx1"/>
            </w14:solidFill>
          </w14:textFill>
        </w:rPr>
        <w:t>提升农业科技支撑。</w:t>
      </w:r>
      <w:r>
        <w:rPr>
          <w:rFonts w:hint="eastAsia" w:ascii="仿宋_GB2312" w:hAnsi="仿宋" w:eastAsia="仿宋_GB2312"/>
          <w:color w:val="000000" w:themeColor="text1"/>
          <w:sz w:val="32"/>
          <w:szCs w:val="32"/>
          <w14:textFill>
            <w14:solidFill>
              <w14:schemeClr w14:val="tx1"/>
            </w14:solidFill>
          </w14:textFill>
        </w:rPr>
        <w:t>加快农业科技创新，促进农科教紧密结合，开展种子种苗种畜、保鲜技术、标准化生产、质量安全管理、资源综合利用等方面的技术攻关。持续提高农业良种化水平，引进小麦、玉米等作物新品种。推进主要农作物生产全程机械化，推广小麦精量播种、反季节栽培、智能测土配方施肥、病虫害绿色防控等新技术，到2025年，三大粮食作物化肥、农药利用率提高到40%以上。探索推进5G、遥感和物联网等信息技术在种植、养殖等领域的创新应用，以病虫害防治、农机作业为重点，提高农业自动化和智能化水平。建设智慧农（牧）场，发展智慧农业。</w:t>
      </w:r>
    </w:p>
    <w:p>
      <w:pPr>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完善优质粮食工程体系。</w:t>
      </w:r>
      <w:r>
        <w:rPr>
          <w:rFonts w:hint="eastAsia" w:ascii="仿宋_GB2312" w:hAnsi="仿宋" w:eastAsia="仿宋_GB2312"/>
          <w:color w:val="000000" w:themeColor="text1"/>
          <w:sz w:val="32"/>
          <w:szCs w:val="32"/>
          <w14:textFill>
            <w14:solidFill>
              <w14:schemeClr w14:val="tx1"/>
            </w14:solidFill>
          </w14:textFill>
        </w:rPr>
        <w:t>进一步提高粮食储备能力，优化库点布局，新建粮食仓库，改造危仓老库，提高粮食储备和政府应急物资保障能力。实行科学储粮，加强智能化管理，减少储存损耗。支持粮食加工企业争创“中国好粮油”品牌，增强粮食加工转化能力，提升价值链。完善粮食质量检测和产后服务体系，发展粮油连锁店，加强物流服务网络建设，提供全方位服务。</w:t>
      </w:r>
    </w:p>
    <w:tbl>
      <w:tblPr>
        <w:tblStyle w:val="2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auto"/>
          </w:tcPr>
          <w:p>
            <w:pPr>
              <w:rPr>
                <w:rFonts w:ascii="黑体" w:hAnsi="黑体" w:eastAsia="黑体"/>
                <w:color w:val="000000" w:themeColor="text1"/>
                <w:kern w:val="0"/>
                <w:sz w:val="24"/>
                <w:szCs w:val="24"/>
                <w14:textFill>
                  <w14:solidFill>
                    <w14:schemeClr w14:val="tx1"/>
                  </w14:solidFill>
                </w14:textFill>
              </w:rPr>
            </w:pPr>
            <w:r>
              <w:rPr>
                <w:rFonts w:ascii="黑体" w:hAnsi="黑体" w:eastAsia="黑体"/>
                <w:color w:val="000000" w:themeColor="text1"/>
                <w:kern w:val="0"/>
                <w:sz w:val="24"/>
                <w:szCs w:val="24"/>
                <w14:textFill>
                  <w14:solidFill>
                    <w14:schemeClr w14:val="tx1"/>
                  </w14:solidFill>
                </w14:textFill>
              </w:rPr>
              <w:t>专栏</w:t>
            </w:r>
            <w:r>
              <w:rPr>
                <w:rFonts w:hint="eastAsia" w:ascii="黑体" w:hAnsi="黑体" w:eastAsia="黑体"/>
                <w:color w:val="000000" w:themeColor="text1"/>
                <w:kern w:val="0"/>
                <w:sz w:val="24"/>
                <w:szCs w:val="24"/>
                <w14:textFill>
                  <w14:solidFill>
                    <w14:schemeClr w14:val="tx1"/>
                  </w14:solidFill>
                </w14:textFill>
              </w:rPr>
              <w:t>4-1：农业高质量发展支撑项目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auto"/>
          </w:tcPr>
          <w:p>
            <w:pPr>
              <w:ind w:firstLine="422" w:firstLineChars="200"/>
              <w:rPr>
                <w:rFonts w:ascii="宋体" w:hAnsi="宋体"/>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高标准农田建设工程：</w:t>
            </w:r>
            <w:r>
              <w:rPr>
                <w:rFonts w:hint="eastAsia" w:ascii="宋体" w:hAnsi="宋体"/>
                <w:color w:val="000000" w:themeColor="text1"/>
                <w:kern w:val="0"/>
                <w:szCs w:val="21"/>
                <w14:textFill>
                  <w14:solidFill>
                    <w14:schemeClr w14:val="tx1"/>
                  </w14:solidFill>
                </w14:textFill>
              </w:rPr>
              <w:t>新建高标准农田35万亩，主要建设内容包括打井配套、疏浚沟渠、修建桥涵、地埋管道、高低压配电、改良土壤、植树造林、田间道路硬化等工程。</w:t>
            </w:r>
          </w:p>
          <w:p>
            <w:pPr>
              <w:ind w:firstLine="422" w:firstLineChars="200"/>
              <w:rPr>
                <w:rFonts w:ascii="宋体" w:hAnsi="宋体"/>
                <w:color w:val="000000" w:themeColor="text1"/>
                <w:kern w:val="0"/>
                <w:szCs w:val="21"/>
                <w14:textFill>
                  <w14:solidFill>
                    <w14:schemeClr w14:val="tx1"/>
                  </w14:solidFill>
                </w14:textFill>
              </w:rPr>
            </w:pPr>
            <w:r>
              <w:rPr>
                <w:rFonts w:ascii="宋体" w:hAnsi="宋体"/>
                <w:b/>
                <w:color w:val="000000" w:themeColor="text1"/>
                <w:kern w:val="0"/>
                <w:szCs w:val="21"/>
                <w14:textFill>
                  <w14:solidFill>
                    <w14:schemeClr w14:val="tx1"/>
                  </w14:solidFill>
                </w14:textFill>
              </w:rPr>
              <w:t>村级仓储保鲜设施</w:t>
            </w:r>
            <w:r>
              <w:rPr>
                <w:rFonts w:hint="eastAsia" w:ascii="宋体" w:hAnsi="宋体"/>
                <w:b/>
                <w:color w:val="000000" w:themeColor="text1"/>
                <w:kern w:val="0"/>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在17个乡镇建设冷冻库保鲜库45座，包括冷冻库30座，保鲜库15座。</w:t>
            </w:r>
          </w:p>
          <w:p>
            <w:pPr>
              <w:ind w:firstLine="422" w:firstLineChars="200"/>
              <w:rPr>
                <w:rFonts w:ascii="宋体" w:hAnsi="宋体"/>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冷链物流农产品交易市场：</w:t>
            </w:r>
            <w:r>
              <w:rPr>
                <w:rFonts w:hint="eastAsia" w:ascii="宋体" w:hAnsi="宋体"/>
                <w:color w:val="000000" w:themeColor="text1"/>
                <w:kern w:val="0"/>
                <w:szCs w:val="21"/>
                <w14:textFill>
                  <w14:solidFill>
                    <w14:schemeClr w14:val="tx1"/>
                  </w14:solidFill>
                </w14:textFill>
              </w:rPr>
              <w:t>各乡镇新建一座占地20亩、建筑面积7600平方米的冷链物流农产品交易市场。</w:t>
            </w:r>
          </w:p>
          <w:p>
            <w:pPr>
              <w:ind w:firstLine="422" w:firstLineChars="200"/>
              <w:rPr>
                <w:rFonts w:ascii="宋体" w:hAnsi="宋体"/>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动植物保护能力提升工程：</w:t>
            </w:r>
            <w:r>
              <w:rPr>
                <w:rFonts w:hint="eastAsia" w:ascii="宋体" w:hAnsi="宋体"/>
                <w:color w:val="000000" w:themeColor="text1"/>
                <w:kern w:val="0"/>
                <w:szCs w:val="21"/>
                <w14:textFill>
                  <w14:solidFill>
                    <w14:schemeClr w14:val="tx1"/>
                  </w14:solidFill>
                </w14:textFill>
              </w:rPr>
              <w:t>新建农作物病虫疫情田间监测点、物资库，配备大中型病虫防治设备。</w:t>
            </w:r>
          </w:p>
          <w:p>
            <w:pPr>
              <w:ind w:firstLine="422" w:firstLineChars="200"/>
              <w:rPr>
                <w:rFonts w:asciiTheme="minorEastAsia" w:hAnsiTheme="minorEastAsia" w:eastAsiaTheme="minorEastAsia"/>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土豆仓储和废弃物综合利用工程：</w:t>
            </w:r>
            <w:r>
              <w:rPr>
                <w:rFonts w:hint="eastAsia" w:ascii="宋体" w:hAnsi="宋体"/>
                <w:color w:val="000000" w:themeColor="text1"/>
                <w:kern w:val="0"/>
                <w:szCs w:val="21"/>
                <w14:textFill>
                  <w14:solidFill>
                    <w14:schemeClr w14:val="tx1"/>
                  </w14:solidFill>
                </w14:textFill>
              </w:rPr>
              <w:t>新建56000平方米土豆仓储恒温保鲜库及附属设施；新建薯渣发酵罐、汁水发酵罐、生物脱硫系统、设备工房等土豆废弃物综合利用设施。</w:t>
            </w:r>
          </w:p>
        </w:tc>
      </w:tr>
    </w:tbl>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70" w:name="_Toc71192375"/>
      <w:r>
        <w:rPr>
          <w:rFonts w:hint="eastAsia" w:ascii="Times New Roman" w:hAnsi="Times New Roman" w:eastAsia="楷体"/>
          <w:bCs w:val="0"/>
          <w:color w:val="000000" w:themeColor="text1"/>
          <w:szCs w:val="20"/>
          <w14:textFill>
            <w14:solidFill>
              <w14:schemeClr w14:val="tx1"/>
            </w14:solidFill>
          </w14:textFill>
        </w:rPr>
        <w:t>第二节</w:t>
      </w:r>
      <w:bookmarkEnd w:id="66"/>
      <w:bookmarkEnd w:id="69"/>
      <w:r>
        <w:rPr>
          <w:rFonts w:hint="eastAsia" w:ascii="Times New Roman" w:hAnsi="Times New Roman" w:eastAsia="楷体"/>
          <w:bCs w:val="0"/>
          <w:color w:val="000000" w:themeColor="text1"/>
          <w:szCs w:val="20"/>
          <w14:textFill>
            <w14:solidFill>
              <w14:schemeClr w14:val="tx1"/>
            </w14:solidFill>
          </w14:textFill>
        </w:rPr>
        <w:t xml:space="preserve"> 提高农业质量效益和竞争力</w:t>
      </w:r>
      <w:bookmarkEnd w:id="70"/>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坚持质量兴农、绿色兴农、品牌强农，</w:t>
      </w:r>
      <w:r>
        <w:rPr>
          <w:rFonts w:hint="eastAsia" w:ascii="仿宋_GB2312" w:hAnsi="仿宋" w:eastAsia="仿宋_GB2312" w:cs="仿宋"/>
          <w:color w:val="000000" w:themeColor="text1"/>
          <w:sz w:val="32"/>
          <w:szCs w:val="32"/>
          <w14:textFill>
            <w14:solidFill>
              <w14:schemeClr w14:val="tx1"/>
            </w14:solidFill>
          </w14:textFill>
        </w:rPr>
        <w:t>深化农业供给侧结构性改革，以“四优四化”为重点，做大做强优势特色种养业</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推动乡村产业深度融合，</w:t>
      </w:r>
      <w:r>
        <w:rPr>
          <w:rFonts w:hint="eastAsia" w:ascii="仿宋_GB2312" w:hAnsi="仿宋" w:eastAsia="仿宋_GB2312"/>
          <w:color w:val="000000" w:themeColor="text1"/>
          <w:sz w:val="32"/>
          <w:szCs w:val="32"/>
          <w14:textFill>
            <w14:solidFill>
              <w14:schemeClr w14:val="tx1"/>
            </w14:solidFill>
          </w14:textFill>
        </w:rPr>
        <w:t>推进农业发展质量变革、效率变革、动力变革，</w:t>
      </w:r>
      <w:r>
        <w:rPr>
          <w:rFonts w:hint="eastAsia" w:ascii="仿宋_GB2312" w:hAnsi="仿宋" w:eastAsia="仿宋_GB2312" w:cs="仿宋"/>
          <w:color w:val="000000" w:themeColor="text1"/>
          <w:sz w:val="32"/>
          <w:szCs w:val="32"/>
          <w14:textFill>
            <w14:solidFill>
              <w14:schemeClr w14:val="tx1"/>
            </w14:solidFill>
          </w14:textFill>
        </w:rPr>
        <w:t>实现由农业大县向农业强县转变</w:t>
      </w:r>
      <w:r>
        <w:rPr>
          <w:rFonts w:hint="eastAsia" w:ascii="仿宋_GB2312" w:hAnsi="仿宋" w:eastAsia="仿宋_GB2312"/>
          <w:color w:val="000000" w:themeColor="text1"/>
          <w:sz w:val="32"/>
          <w:szCs w:val="32"/>
          <w14:textFill>
            <w14:solidFill>
              <w14:schemeClr w14:val="tx1"/>
            </w14:solidFill>
          </w14:textFill>
        </w:rPr>
        <w:t>。</w:t>
      </w:r>
    </w:p>
    <w:p>
      <w:pPr>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发展优势特色农业。</w:t>
      </w:r>
      <w:r>
        <w:rPr>
          <w:rFonts w:hint="eastAsia" w:ascii="仿宋_GB2312" w:hAnsi="仿宋" w:eastAsia="仿宋_GB2312"/>
          <w:color w:val="000000" w:themeColor="text1"/>
          <w:sz w:val="32"/>
          <w:szCs w:val="32"/>
          <w14:textFill>
            <w14:solidFill>
              <w14:schemeClr w14:val="tx1"/>
            </w14:solidFill>
          </w14:textFill>
        </w:rPr>
        <w:t>因地制宜推进形成“一乡一业、一村一品”优势特色农业发展新格局。塑造白云寺香葱、绿洲街道温室蔬菜、双塔韭菜、人和葡萄、伯党绿化苗木等特色种植品牌。引导王桥红薯、野岗酥梨优化升级。扩大北关山药、双塔芦笋、王庄寨香菜、林七小辣椒、程庄和龙塘食用菌、龙塘艾草、老颜集和褚庙青菜种植规模。实施特色种养“万”字工程，培育花生、山药、食用菌等发展基础好、潜力大的特色产业集群，推进国家安全韭菜示范基地建设，到2025年优质瓜果、蔬菜稳定在30万亩。发展现代高效畜牧养殖，建设现代化养殖基地，支持正大、牧原等重点龙头企业百万头生猪全产业链项目建设和产能提升。推进生猪、肉牛、奶牛、肉羊、禽类、水产等养殖规模化、标准化。持续巩固提升省级优质肉牛、奶牛和肉羊养殖基地地位，促进散养户向适度规模发展，到2025年，畜禽规模化养殖率达80%以上。推进北关、庄子水产生态健康养殖，探索莲藕泥鳅等套养模式，建设黄河故道有机农业示范区。积极发展设施农业，推进绿洲街道温室大棚蔬菜种植上规模、增效益。探索发展高效农业，推进白云寺数字农业全产业链项目建设。优化优势特色农林产品空间布局，建设优质小麦、优质花生、优质蔬菜瓜果等特色农产品优势区和重要农产品生产保护区。</w:t>
      </w:r>
      <w:r>
        <w:rPr>
          <w:rFonts w:hint="eastAsia" w:ascii="仿宋_GB2312" w:hAnsi="仿宋" w:eastAsia="仿宋_GB2312" w:cs="仿宋"/>
          <w:color w:val="000000" w:themeColor="text1"/>
          <w:sz w:val="32"/>
          <w:szCs w:val="32"/>
          <w14:textFill>
            <w14:solidFill>
              <w14:schemeClr w14:val="tx1"/>
            </w14:solidFill>
          </w14:textFill>
        </w:rPr>
        <w:t>到2025年，农牧渔业产值达80亿元左右，畜牧业产值达35亿元。</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rPr>
                <w:rFonts w:ascii="黑体" w:hAnsi="黑体" w:eastAsia="黑体"/>
                <w:color w:val="000000" w:themeColor="text1"/>
                <w:kern w:val="0"/>
                <w:sz w:val="24"/>
                <w:szCs w:val="24"/>
                <w14:textFill>
                  <w14:solidFill>
                    <w14:schemeClr w14:val="tx1"/>
                  </w14:solidFill>
                </w14:textFill>
              </w:rPr>
            </w:pPr>
            <w:r>
              <w:rPr>
                <w:rFonts w:ascii="黑体" w:hAnsi="黑体" w:eastAsia="黑体"/>
                <w:color w:val="000000" w:themeColor="text1"/>
                <w:kern w:val="0"/>
                <w:sz w:val="24"/>
                <w:szCs w:val="24"/>
                <w14:textFill>
                  <w14:solidFill>
                    <w14:schemeClr w14:val="tx1"/>
                  </w14:solidFill>
                </w14:textFill>
              </w:rPr>
              <w:t>专栏</w:t>
            </w:r>
            <w:r>
              <w:rPr>
                <w:rFonts w:hint="eastAsia" w:ascii="黑体" w:hAnsi="黑体" w:eastAsia="黑体"/>
                <w:color w:val="000000" w:themeColor="text1"/>
                <w:kern w:val="0"/>
                <w:sz w:val="24"/>
                <w:szCs w:val="24"/>
                <w14:textFill>
                  <w14:solidFill>
                    <w14:schemeClr w14:val="tx1"/>
                  </w14:solidFill>
                </w14:textFill>
              </w:rPr>
              <w:t>4-2：优势特色种养项目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ind w:firstLine="422" w:firstLineChars="200"/>
              <w:rPr>
                <w:rFonts w:ascii="宋体" w:hAnsi="宋体"/>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万亩香葱：</w:t>
            </w:r>
            <w:r>
              <w:rPr>
                <w:rFonts w:hint="eastAsia" w:ascii="宋体" w:hAnsi="宋体"/>
                <w:color w:val="000000" w:themeColor="text1"/>
                <w:kern w:val="0"/>
                <w:szCs w:val="21"/>
                <w14:textFill>
                  <w14:solidFill>
                    <w14:schemeClr w14:val="tx1"/>
                  </w14:solidFill>
                </w14:textFill>
              </w:rPr>
              <w:t>以白云寺镇为主建设万亩香葱基地。</w:t>
            </w:r>
          </w:p>
          <w:p>
            <w:pPr>
              <w:ind w:firstLine="422" w:firstLineChars="200"/>
              <w:rPr>
                <w:rFonts w:ascii="宋体" w:hAnsi="宋体"/>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万亩韭菜：</w:t>
            </w:r>
            <w:r>
              <w:rPr>
                <w:rFonts w:hint="eastAsia" w:ascii="宋体" w:hAnsi="宋体"/>
                <w:color w:val="000000" w:themeColor="text1"/>
                <w:kern w:val="0"/>
                <w:szCs w:val="21"/>
                <w14:textFill>
                  <w14:solidFill>
                    <w14:schemeClr w14:val="tx1"/>
                  </w14:solidFill>
                </w14:textFill>
              </w:rPr>
              <w:t>以双塔镇为主建设万亩安全韭菜基地。</w:t>
            </w:r>
          </w:p>
          <w:p>
            <w:pPr>
              <w:ind w:firstLine="422" w:firstLineChars="200"/>
              <w:rPr>
                <w:rFonts w:ascii="宋体" w:hAnsi="宋体"/>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万亩辣椒：</w:t>
            </w:r>
            <w:r>
              <w:rPr>
                <w:rFonts w:hint="eastAsia" w:ascii="宋体" w:hAnsi="宋体"/>
                <w:color w:val="000000" w:themeColor="text1"/>
                <w:kern w:val="0"/>
                <w:szCs w:val="21"/>
                <w14:textFill>
                  <w14:solidFill>
                    <w14:schemeClr w14:val="tx1"/>
                  </w14:solidFill>
                </w14:textFill>
              </w:rPr>
              <w:t>以龙塘镇、白云寺镇、林七乡为主建设万亩小辣椒基地。</w:t>
            </w:r>
          </w:p>
          <w:p>
            <w:pPr>
              <w:ind w:firstLine="422" w:firstLineChars="200"/>
              <w:rPr>
                <w:rFonts w:ascii="宋体" w:hAnsi="宋体"/>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万亩温室蔬菜：</w:t>
            </w:r>
            <w:r>
              <w:rPr>
                <w:rFonts w:hint="eastAsia" w:ascii="宋体" w:hAnsi="宋体"/>
                <w:color w:val="000000" w:themeColor="text1"/>
                <w:kern w:val="0"/>
                <w:szCs w:val="21"/>
                <w14:textFill>
                  <w14:solidFill>
                    <w14:schemeClr w14:val="tx1"/>
                  </w14:solidFill>
                </w14:textFill>
              </w:rPr>
              <w:t>以绿洲办事处、花园乡为主建设万亩设施蔬菜基地。</w:t>
            </w:r>
          </w:p>
          <w:p>
            <w:pPr>
              <w:ind w:firstLine="422" w:firstLineChars="200"/>
              <w:rPr>
                <w:rFonts w:ascii="宋体" w:hAnsi="宋体"/>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万亩香菜：</w:t>
            </w:r>
            <w:r>
              <w:rPr>
                <w:rFonts w:hint="eastAsia" w:ascii="宋体" w:hAnsi="宋体"/>
                <w:color w:val="000000" w:themeColor="text1"/>
                <w:kern w:val="0"/>
                <w:szCs w:val="21"/>
                <w14:textFill>
                  <w14:solidFill>
                    <w14:schemeClr w14:val="tx1"/>
                  </w14:solidFill>
                </w14:textFill>
              </w:rPr>
              <w:t>以王庄寨镇为主建设万亩香菜基地。</w:t>
            </w:r>
          </w:p>
          <w:p>
            <w:pPr>
              <w:ind w:firstLine="422" w:firstLineChars="200"/>
              <w:rPr>
                <w:rFonts w:ascii="宋体" w:hAnsi="宋体"/>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万亩莲藕：</w:t>
            </w:r>
            <w:r>
              <w:rPr>
                <w:rFonts w:hint="eastAsia" w:ascii="宋体" w:hAnsi="宋体"/>
                <w:color w:val="000000" w:themeColor="text1"/>
                <w:kern w:val="0"/>
                <w:szCs w:val="21"/>
                <w14:textFill>
                  <w14:solidFill>
                    <w14:schemeClr w14:val="tx1"/>
                  </w14:solidFill>
                </w14:textFill>
              </w:rPr>
              <w:t>以孙六、北关、庄子镇为主建设万亩连藕基地。</w:t>
            </w:r>
          </w:p>
          <w:p>
            <w:pPr>
              <w:ind w:firstLine="422" w:firstLineChars="200"/>
              <w:rPr>
                <w:rFonts w:ascii="宋体" w:hAnsi="宋体"/>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万亩山药：</w:t>
            </w:r>
            <w:r>
              <w:rPr>
                <w:rFonts w:hint="eastAsia" w:ascii="宋体" w:hAnsi="宋体"/>
                <w:color w:val="000000" w:themeColor="text1"/>
                <w:kern w:val="0"/>
                <w:szCs w:val="21"/>
                <w14:textFill>
                  <w14:solidFill>
                    <w14:schemeClr w14:val="tx1"/>
                  </w14:solidFill>
                </w14:textFill>
              </w:rPr>
              <w:t>以北关镇、胡集乡、王桥镇为主建设万亩山药基地。</w:t>
            </w:r>
          </w:p>
          <w:p>
            <w:pPr>
              <w:ind w:firstLine="422" w:firstLineChars="200"/>
              <w:rPr>
                <w:rFonts w:ascii="宋体" w:hAnsi="宋体"/>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万亩青菜：</w:t>
            </w:r>
            <w:r>
              <w:rPr>
                <w:rFonts w:hint="eastAsia" w:ascii="宋体" w:hAnsi="宋体"/>
                <w:color w:val="000000" w:themeColor="text1"/>
                <w:kern w:val="0"/>
                <w:szCs w:val="21"/>
                <w14:textFill>
                  <w14:solidFill>
                    <w14:schemeClr w14:val="tx1"/>
                  </w14:solidFill>
                </w14:textFill>
              </w:rPr>
              <w:t>以褚庙、老颜集乡为主建设万亩青菜基地。</w:t>
            </w:r>
          </w:p>
          <w:p>
            <w:pPr>
              <w:ind w:firstLine="422" w:firstLineChars="200"/>
              <w:rPr>
                <w:rFonts w:ascii="宋体" w:hAnsi="宋体"/>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万亩花生：</w:t>
            </w:r>
            <w:r>
              <w:rPr>
                <w:rFonts w:hint="eastAsia" w:ascii="宋体" w:hAnsi="宋体"/>
                <w:color w:val="000000" w:themeColor="text1"/>
                <w:kern w:val="0"/>
                <w:szCs w:val="21"/>
                <w14:textFill>
                  <w14:solidFill>
                    <w14:schemeClr w14:val="tx1"/>
                  </w14:solidFill>
                </w14:textFill>
              </w:rPr>
              <w:t>以双塔、人和镇为主建设万亩高油酸优质花生基地。</w:t>
            </w:r>
          </w:p>
          <w:p>
            <w:pPr>
              <w:ind w:firstLine="422" w:firstLineChars="200"/>
              <w:rPr>
                <w:rFonts w:ascii="宋体" w:hAnsi="宋体"/>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万亩水产养殖：</w:t>
            </w:r>
            <w:r>
              <w:rPr>
                <w:rFonts w:hint="eastAsia" w:ascii="宋体" w:hAnsi="宋体"/>
                <w:color w:val="000000" w:themeColor="text1"/>
                <w:kern w:val="0"/>
                <w:szCs w:val="21"/>
                <w14:textFill>
                  <w14:solidFill>
                    <w14:schemeClr w14:val="tx1"/>
                  </w14:solidFill>
                </w14:textFill>
              </w:rPr>
              <w:t>以北关、庄子镇为主建设万亩水产养殖基地。</w:t>
            </w:r>
          </w:p>
          <w:p>
            <w:pPr>
              <w:ind w:firstLine="422" w:firstLineChars="200"/>
              <w:rPr>
                <w:rFonts w:ascii="宋体" w:hAnsi="宋体"/>
                <w:color w:val="000000" w:themeColor="text1"/>
                <w:kern w:val="0"/>
                <w:szCs w:val="21"/>
                <w14:textFill>
                  <w14:solidFill>
                    <w14:schemeClr w14:val="tx1"/>
                  </w14:solidFill>
                </w14:textFill>
              </w:rPr>
            </w:pPr>
            <w:r>
              <w:rPr>
                <w:rFonts w:ascii="宋体" w:hAnsi="宋体"/>
                <w:b/>
                <w:color w:val="000000" w:themeColor="text1"/>
                <w:kern w:val="0"/>
                <w:szCs w:val="21"/>
                <w14:textFill>
                  <w14:solidFill>
                    <w14:schemeClr w14:val="tx1"/>
                  </w14:solidFill>
                </w14:textFill>
              </w:rPr>
              <w:t>万亩良种培育</w:t>
            </w:r>
            <w:r>
              <w:rPr>
                <w:rFonts w:hint="eastAsia" w:ascii="宋体" w:hAnsi="宋体"/>
                <w:b/>
                <w:color w:val="000000" w:themeColor="text1"/>
                <w:kern w:val="0"/>
                <w:szCs w:val="21"/>
                <w14:textFill>
                  <w14:solidFill>
                    <w14:schemeClr w14:val="tx1"/>
                  </w14:solidFill>
                </w14:textFill>
              </w:rPr>
              <w:t>：</w:t>
            </w:r>
            <w:r>
              <w:rPr>
                <w:rFonts w:ascii="宋体" w:hAnsi="宋体"/>
                <w:color w:val="000000" w:themeColor="text1"/>
                <w:kern w:val="0"/>
                <w:szCs w:val="21"/>
                <w14:textFill>
                  <w14:solidFill>
                    <w14:schemeClr w14:val="tx1"/>
                  </w14:solidFill>
                </w14:textFill>
              </w:rPr>
              <w:t>以褚庙乡为主建设万亩良种培育基地</w:t>
            </w:r>
            <w:r>
              <w:rPr>
                <w:rFonts w:hint="eastAsia" w:ascii="宋体" w:hAnsi="宋体"/>
                <w:color w:val="000000" w:themeColor="text1"/>
                <w:kern w:val="0"/>
                <w:szCs w:val="21"/>
                <w14:textFill>
                  <w14:solidFill>
                    <w14:schemeClr w14:val="tx1"/>
                  </w14:solidFill>
                </w14:textFill>
              </w:rPr>
              <w:t>。</w:t>
            </w:r>
          </w:p>
        </w:tc>
      </w:tr>
    </w:tbl>
    <w:p>
      <w:pPr>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推进农村产业融合发展。</w:t>
      </w:r>
      <w:r>
        <w:rPr>
          <w:rFonts w:hint="eastAsia" w:ascii="仿宋_GB2312" w:hAnsi="仿宋" w:eastAsia="仿宋_GB2312"/>
          <w:color w:val="000000" w:themeColor="text1"/>
          <w:sz w:val="32"/>
          <w:szCs w:val="32"/>
          <w14:textFill>
            <w14:solidFill>
              <w14:schemeClr w14:val="tx1"/>
            </w14:solidFill>
          </w14:textFill>
        </w:rPr>
        <w:t>坚持“粮头食尾”“农头工尾”，延长产业链、提升价值链、打造供应链，积极推进“三链同构”，加快推进农村一二三产业融合发展。推进小麦、花生、葡萄、酥梨、食用菌、三樱椒等农产品精深加工，做优做特面制品、果蔬饮料制品，发展休闲食品、速冻食品、食品半成品；加快生猪屠宰、熟食加工项目建设；建设农业加工示范园，打造食品加工产业集群，推动我县由“大粮仓”向“大厨房”转变。探索推进农文旅融合发展，融合红色文化、庄子文化、葡萄酒文化、中原民俗文化、黄河故道传统农耕文化，建设一批采摘体验园、休闲观光园、田园综合体、精品民宿，打造葡萄小镇、青菜小镇、艾草小镇等特色小镇，建设麻花庄、赵洪坡、秣坡等农文旅融合项目，打造一批观光休闲、文化体验、养生保健、红色教育乡村旅游精品。积极培育乡村文化、农村电商、乡村信息、农业物联网等涉农新业态。</w:t>
      </w:r>
    </w:p>
    <w:p>
      <w:pPr>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培育现代农业经营主体。</w:t>
      </w:r>
      <w:r>
        <w:rPr>
          <w:rFonts w:hint="eastAsia" w:ascii="仿宋_GB2312" w:hAnsi="仿宋" w:eastAsia="仿宋_GB2312"/>
          <w:color w:val="000000" w:themeColor="text1"/>
          <w:sz w:val="32"/>
          <w:szCs w:val="32"/>
          <w14:textFill>
            <w14:solidFill>
              <w14:schemeClr w14:val="tx1"/>
            </w14:solidFill>
          </w14:textFill>
        </w:rPr>
        <w:t>大力培育专业种养大户、家庭农场、农民合作社等各类新型农业经营主体。对专业种养大户、家庭农场给予政策支持，引导农民合作社做大做强，鼓励创办联合社。培育一批发展势头好、带动能力强的农业产业化龙头企业。实施现代农业产业园创建行动，重点推进双飞葡萄现代农业产业园建设，创建民权渔业健康养殖现代农业产业园。到2025年，农业产业化联合体达8家以上，家庭农场800家，农民专业合作社700家，省级以上示范社4家，省、市级农业产业化龙头企业达40家，省、市级现代农业产业园达3家以上。争创国家级示范社、国家级农业产业化龙头企业、国家级现代农业产业园，谋划推进双塔高科技农业产业园项目。</w:t>
      </w:r>
    </w:p>
    <w:p>
      <w:pPr>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健全农产品流通网络。</w:t>
      </w:r>
      <w:r>
        <w:rPr>
          <w:rFonts w:hint="eastAsia" w:ascii="仿宋_GB2312" w:hAnsi="仿宋" w:eastAsia="仿宋_GB2312"/>
          <w:color w:val="000000" w:themeColor="text1"/>
          <w:sz w:val="32"/>
          <w:szCs w:val="32"/>
          <w14:textFill>
            <w14:solidFill>
              <w14:schemeClr w14:val="tx1"/>
            </w14:solidFill>
          </w14:textFill>
        </w:rPr>
        <w:t>加快农产品产销网络建设，建设一批功能完善、大中小结合的现代农产品批发市场，加强区域物流配送体系建设。发展农村电商，建设县级电子商务运营服务中心，加强与国内知名电商平台对接合作，构建覆盖全县、连通全国的农产品上行流通网络，推进农产品上行和工业品下乡双向流通。大力发展冷链物流，建设乡镇农产品仓储保鲜冷库、保鲜库等冷链物流基础设施，重点发展猪肉冷链物流，建设生鲜畜产品低温配送和处理中心，建立全程“无断链”肉类冷链物流体系。积极开展农超对接、农企对接，健全农产品产销稳定衔接机制。</w:t>
      </w:r>
    </w:p>
    <w:p>
      <w:pPr>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大力培育农业品牌。</w:t>
      </w:r>
      <w:r>
        <w:rPr>
          <w:rFonts w:hint="eastAsia" w:ascii="仿宋_GB2312" w:hAnsi="仿宋" w:eastAsia="仿宋_GB2312"/>
          <w:color w:val="000000" w:themeColor="text1"/>
          <w:sz w:val="32"/>
          <w:szCs w:val="32"/>
          <w14:textFill>
            <w14:solidFill>
              <w14:schemeClr w14:val="tx1"/>
            </w14:solidFill>
          </w14:textFill>
        </w:rPr>
        <w:t>加强农业品牌创建力度，提升民权葡萄、花生、山药、韭菜、酥梨等知名度，培育农产品区域共用品牌、企业品牌、产品品牌。加强花生、葡萄等农产品地理标志保护，继续开展“两品一标”认证，增加认证数量。到2025年，省级以上农产品区域共用品牌达2个以上、企业品牌达4个以上、产品品牌达9个以上，建设民权县全国绿色食品原料标准化生产基地1个。加强品牌保护，加大农业品牌宣传力度，提升全县农业产业整体知名度。</w:t>
      </w:r>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71" w:name="_Toc50299586"/>
      <w:bookmarkStart w:id="72" w:name="_Toc71192376"/>
      <w:bookmarkStart w:id="73" w:name="_Toc62400260"/>
      <w:r>
        <w:rPr>
          <w:rFonts w:hint="eastAsia" w:ascii="Times New Roman" w:hAnsi="Times New Roman" w:eastAsia="楷体"/>
          <w:bCs w:val="0"/>
          <w:color w:val="000000" w:themeColor="text1"/>
          <w:szCs w:val="20"/>
          <w14:textFill>
            <w14:solidFill>
              <w14:schemeClr w14:val="tx1"/>
            </w14:solidFill>
          </w14:textFill>
        </w:rPr>
        <w:t>第三节</w:t>
      </w:r>
      <w:bookmarkEnd w:id="71"/>
      <w:r>
        <w:rPr>
          <w:rFonts w:hint="eastAsia" w:ascii="Times New Roman" w:hAnsi="Times New Roman" w:eastAsia="楷体"/>
          <w:bCs w:val="0"/>
          <w:color w:val="000000" w:themeColor="text1"/>
          <w:szCs w:val="20"/>
          <w14:textFill>
            <w14:solidFill>
              <w14:schemeClr w14:val="tx1"/>
            </w14:solidFill>
          </w14:textFill>
        </w:rPr>
        <w:t xml:space="preserve"> 实施乡村建设行动</w:t>
      </w:r>
      <w:bookmarkEnd w:id="72"/>
      <w:bookmarkEnd w:id="73"/>
    </w:p>
    <w:p>
      <w:pPr>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提升乡村建设质量。</w:t>
      </w:r>
      <w:r>
        <w:rPr>
          <w:rFonts w:hint="eastAsia" w:ascii="仿宋_GB2312" w:hAnsi="仿宋" w:eastAsia="仿宋_GB2312"/>
          <w:color w:val="000000" w:themeColor="text1"/>
          <w:sz w:val="32"/>
          <w:szCs w:val="32"/>
          <w14:textFill>
            <w14:solidFill>
              <w14:schemeClr w14:val="tx1"/>
            </w14:solidFill>
          </w14:textFill>
        </w:rPr>
        <w:t>统筹城镇和村庄规划，因地制宜分类编制城乡融合类、聚集提升类、特色保护类、搬迁撤并类和整治改善类村庄“多规合一”的实用性村庄规划，分类推进村庄改造提升、历史文化保护或综合整治。加强农房建设管理，倡导具有乡土特色的民居风格，推广标准农房建设，提升农房建设质量。做好乡镇村“断头路”连接，推进“四好农村路”建设，提升农村公路管理和养护水平。加快城乡公交一体化进程，打造惠民绿色交通。统筹推进城乡公共服务设施建设，加强乡村文化广场、垃圾中转站建设，加快推进村级卫生室标准化，完善农家书屋、公共综合服务中心等服务设施。加强传统村镇保护，加强庄子、白云寺、龙塘、双塔等名镇和王公庄、李馆、秣坡、葛庄、任庄、史村铺、吴庄、亓堂等名村的历史文化保护。</w:t>
      </w:r>
    </w:p>
    <w:p>
      <w:pPr>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持续改善农村人居环境。</w:t>
      </w:r>
      <w:r>
        <w:rPr>
          <w:rFonts w:hint="eastAsia" w:ascii="仿宋_GB2312" w:hAnsi="仿宋" w:eastAsia="仿宋_GB2312"/>
          <w:color w:val="000000" w:themeColor="text1"/>
          <w:sz w:val="32"/>
          <w:szCs w:val="32"/>
          <w14:textFill>
            <w14:solidFill>
              <w14:schemeClr w14:val="tx1"/>
            </w14:solidFill>
          </w14:textFill>
        </w:rPr>
        <w:t>持续开展农村人居环境整治行动计划，以农村垃圾、污水处理、厕所革命和村容村貌提升为主攻方向，全面改善农村人居环境。统筹推进农村生活垃圾和农业生产废弃物利用处理，做好“三清一改”，不断完善“村收集、乡镇转运、县运输处理”的生活垃圾治理模式，推进全域保洁市场化改革，建立长效管护机制。大力推动农作物秸秆、粪污资源化综合利用，到2025年，秸秆综合利用率达93%以上，畜禽粪污资源化利用率达85%以上。逐步推进农村生活垃圾分类，建设村镇回收网点，因地制宜建立符合农村实际的分类方法，分步实现农村生活垃圾分类和资源化利用，2022年覆盖所有乡镇和80%以上的行政村，2024年覆盖全县农村，建立经费筹集、日常管理、宣传教育等长效机制。持续开展户用卫生厕所改造和建设，逐步实现农村无害化厕所全覆盖，加强后期管护，推进粪污处理和资源化利用。推进农村河塘清淤疏浚，消除农村黑臭水体。推进乡镇（街道）污水管网向农村延伸，扩大乡镇（街道）污水处理能力，建设农村生态污水处理厂，推进庭院与主管网连接，不断扩大农村污水管网覆盖面。深入开展“美化、绿化、亮化”工程，整治农村断壁残垣和废弃农房，加强农房外观改造，开展“四旁”绿化，完善农村公共照明设施。巩固“美丽庭院”示范县创建成果，争创一批“千村示范、万村整治”示范村和美丽乡村示范村。</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rPr>
                <w:rFonts w:ascii="黑体" w:hAnsi="黑体" w:eastAsia="黑体"/>
                <w:color w:val="000000" w:themeColor="text1"/>
                <w:kern w:val="0"/>
                <w:sz w:val="24"/>
                <w:szCs w:val="24"/>
                <w14:textFill>
                  <w14:solidFill>
                    <w14:schemeClr w14:val="tx1"/>
                  </w14:solidFill>
                </w14:textFill>
              </w:rPr>
            </w:pPr>
            <w:r>
              <w:rPr>
                <w:rFonts w:ascii="黑体" w:hAnsi="黑体" w:eastAsia="黑体"/>
                <w:color w:val="000000" w:themeColor="text1"/>
                <w:kern w:val="0"/>
                <w:sz w:val="24"/>
                <w:szCs w:val="24"/>
                <w14:textFill>
                  <w14:solidFill>
                    <w14:schemeClr w14:val="tx1"/>
                  </w14:solidFill>
                </w14:textFill>
              </w:rPr>
              <w:t>专栏</w:t>
            </w:r>
            <w:r>
              <w:rPr>
                <w:rFonts w:hint="eastAsia" w:ascii="黑体" w:hAnsi="黑体" w:eastAsia="黑体"/>
                <w:color w:val="000000" w:themeColor="text1"/>
                <w:kern w:val="0"/>
                <w:sz w:val="24"/>
                <w:szCs w:val="24"/>
                <w14:textFill>
                  <w14:solidFill>
                    <w14:schemeClr w14:val="tx1"/>
                  </w14:solidFill>
                </w14:textFill>
              </w:rPr>
              <w:t>4-3：乡村建设行动支撑项目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ind w:firstLine="422" w:firstLineChars="200"/>
              <w:rPr>
                <w:rFonts w:ascii="宋体" w:hAnsi="宋体"/>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厕改工程：</w:t>
            </w:r>
            <w:r>
              <w:rPr>
                <w:rFonts w:hint="eastAsia" w:ascii="宋体" w:hAnsi="宋体"/>
                <w:color w:val="000000" w:themeColor="text1"/>
                <w:kern w:val="0"/>
                <w:szCs w:val="21"/>
                <w14:textFill>
                  <w14:solidFill>
                    <w14:schemeClr w14:val="tx1"/>
                  </w14:solidFill>
                </w14:textFill>
              </w:rPr>
              <w:t>无害化卫生厕所改造，新建一批农村卫生公厕。</w:t>
            </w:r>
          </w:p>
          <w:p>
            <w:pPr>
              <w:ind w:firstLine="422" w:firstLineChars="200"/>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排污工程：</w:t>
            </w:r>
            <w:r>
              <w:rPr>
                <w:rFonts w:hint="eastAsia" w:ascii="宋体" w:hAnsi="宋体"/>
                <w:color w:val="000000" w:themeColor="text1"/>
                <w:kern w:val="0"/>
                <w:szCs w:val="21"/>
                <w14:textFill>
                  <w14:solidFill>
                    <w14:schemeClr w14:val="tx1"/>
                  </w14:solidFill>
                </w14:textFill>
              </w:rPr>
              <w:t>河塘清淤，农村污水管网建设，污水处理设施建设，粪污处理厂建设。</w:t>
            </w:r>
          </w:p>
          <w:p>
            <w:pPr>
              <w:ind w:firstLine="422" w:firstLineChars="200"/>
              <w:rPr>
                <w:rFonts w:ascii="宋体" w:hAnsi="宋体"/>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清洁工程：</w:t>
            </w:r>
            <w:r>
              <w:rPr>
                <w:rFonts w:hint="eastAsia" w:ascii="宋体" w:hAnsi="宋体"/>
                <w:color w:val="000000" w:themeColor="text1"/>
                <w:kern w:val="0"/>
                <w:szCs w:val="21"/>
                <w14:textFill>
                  <w14:solidFill>
                    <w14:schemeClr w14:val="tx1"/>
                  </w14:solidFill>
                </w14:textFill>
              </w:rPr>
              <w:t>建设垃圾处理中转站14座；大型垃圾运输车辆、垃圾清运清扫机械车辆及设备更新等；新建乡镇生物堆肥项目116个。</w:t>
            </w:r>
          </w:p>
          <w:p>
            <w:pPr>
              <w:ind w:firstLine="422" w:firstLineChars="200"/>
              <w:rPr>
                <w:rFonts w:ascii="宋体" w:hAnsi="宋体"/>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公共服务设施：</w:t>
            </w:r>
            <w:r>
              <w:rPr>
                <w:rFonts w:hint="eastAsia" w:ascii="宋体" w:hAnsi="宋体"/>
                <w:color w:val="000000" w:themeColor="text1"/>
                <w:kern w:val="0"/>
                <w:szCs w:val="21"/>
                <w14:textFill>
                  <w14:solidFill>
                    <w14:schemeClr w14:val="tx1"/>
                  </w14:solidFill>
                </w14:textFill>
              </w:rPr>
              <w:t>村内道路和综合服务中心建设。</w:t>
            </w:r>
          </w:p>
          <w:p>
            <w:pPr>
              <w:ind w:firstLine="422" w:firstLineChars="200"/>
              <w:rPr>
                <w:rFonts w:ascii="宋体" w:hAnsi="宋体"/>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美化工程;</w:t>
            </w:r>
            <w:r>
              <w:rPr>
                <w:rFonts w:hint="eastAsia" w:ascii="宋体" w:hAnsi="宋体"/>
                <w:color w:val="000000" w:themeColor="text1"/>
                <w:kern w:val="0"/>
                <w:szCs w:val="21"/>
                <w14:textFill>
                  <w14:solidFill>
                    <w14:schemeClr w14:val="tx1"/>
                  </w14:solidFill>
                </w14:textFill>
              </w:rPr>
              <w:t>农村房屋外观装修工程。</w:t>
            </w:r>
          </w:p>
          <w:p>
            <w:pPr>
              <w:ind w:firstLine="422" w:firstLineChars="200"/>
              <w:rPr>
                <w:rFonts w:ascii="宋体" w:hAnsi="宋体"/>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亮化工程：</w:t>
            </w:r>
            <w:r>
              <w:rPr>
                <w:rFonts w:hint="eastAsia" w:ascii="宋体" w:hAnsi="宋体"/>
                <w:color w:val="000000" w:themeColor="text1"/>
                <w:kern w:val="0"/>
                <w:szCs w:val="21"/>
                <w14:textFill>
                  <w14:solidFill>
                    <w14:schemeClr w14:val="tx1"/>
                  </w14:solidFill>
                </w14:textFill>
              </w:rPr>
              <w:t>新建农村路灯。</w:t>
            </w:r>
          </w:p>
          <w:p>
            <w:pPr>
              <w:ind w:firstLine="422" w:firstLineChars="200"/>
              <w:rPr>
                <w:rFonts w:ascii="宋体" w:hAnsi="宋体"/>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绿化工程：</w:t>
            </w:r>
            <w:r>
              <w:rPr>
                <w:rFonts w:hint="eastAsia" w:ascii="宋体" w:hAnsi="宋体"/>
                <w:color w:val="000000" w:themeColor="text1"/>
                <w:kern w:val="0"/>
                <w:szCs w:val="21"/>
                <w14:textFill>
                  <w14:solidFill>
                    <w14:schemeClr w14:val="tx1"/>
                  </w14:solidFill>
                </w14:textFill>
              </w:rPr>
              <w:t>村旁、宅旁、路旁、水旁绿化树木栽植。</w:t>
            </w:r>
          </w:p>
          <w:p>
            <w:pPr>
              <w:ind w:firstLine="422" w:firstLineChars="200"/>
              <w:rPr>
                <w:rFonts w:ascii="宋体" w:hAnsi="宋体"/>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绿洲街道12个村全域土地综合整治试点：</w:t>
            </w:r>
            <w:r>
              <w:rPr>
                <w:rFonts w:hint="eastAsia" w:ascii="宋体" w:hAnsi="宋体"/>
                <w:color w:val="000000" w:themeColor="text1"/>
                <w:kern w:val="0"/>
                <w:szCs w:val="21"/>
                <w14:textFill>
                  <w14:solidFill>
                    <w14:schemeClr w14:val="tx1"/>
                  </w14:solidFill>
                </w14:textFill>
              </w:rPr>
              <w:t>项目主要涉及农用地整理、建设用地复垦、人居环境提升、生态保护修复等工程。</w:t>
            </w:r>
          </w:p>
          <w:p>
            <w:pPr>
              <w:ind w:firstLine="422" w:firstLineChars="200"/>
              <w:rPr>
                <w:rFonts w:ascii="仿宋" w:hAnsi="仿宋" w:eastAsia="仿宋"/>
                <w:b/>
                <w:color w:val="000000" w:themeColor="text1"/>
                <w:kern w:val="0"/>
                <w:sz w:val="24"/>
                <w:szCs w:val="24"/>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农村产权交易服务体系建设项目：</w:t>
            </w:r>
            <w:r>
              <w:rPr>
                <w:rFonts w:hint="eastAsia" w:ascii="宋体" w:hAnsi="宋体"/>
                <w:color w:val="000000" w:themeColor="text1"/>
                <w:kern w:val="0"/>
                <w:szCs w:val="21"/>
                <w14:textFill>
                  <w14:solidFill>
                    <w14:schemeClr w14:val="tx1"/>
                  </w14:solidFill>
                </w14:textFill>
              </w:rPr>
              <w:t>新建县级交易服务中心1个，各乡镇新建乡级交易服务中心1个，县、乡、村配备农村产权交易中心平台和农村集体资产监督管理平台。</w:t>
            </w:r>
          </w:p>
        </w:tc>
      </w:tr>
    </w:tbl>
    <w:p>
      <w:pPr>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建设文明善治乡村。</w:t>
      </w:r>
      <w:r>
        <w:rPr>
          <w:rFonts w:hint="eastAsia" w:ascii="仿宋_GB2312" w:hAnsi="仿宋" w:eastAsia="仿宋_GB2312"/>
          <w:color w:val="000000" w:themeColor="text1"/>
          <w:sz w:val="32"/>
          <w:szCs w:val="32"/>
          <w14:textFill>
            <w14:solidFill>
              <w14:schemeClr w14:val="tx1"/>
            </w14:solidFill>
          </w14:textFill>
        </w:rPr>
        <w:t>建立健全党委领导、政府负责、社会协同、公众参与、法治保障的现代乡村社会治理体系。推进基层党组织换届，选优配强领导班子，发挥农村基层党组织政治引领和战斗堡垒作用，完善基层干部队伍成长机制、关爱机制和激励机制。加强软弱涣散村治理，坚持向软弱涣散村和经济薄弱村派驻第一书记。加强村民自治组织建设，健全村党组织领导的村民自治机制，严格落实“四议两公开”制度，推进村级重大事项民主决策。强化法律在维护农民权益、化解社会矛盾等方面的权威地位，提高农民法律素养，引导农民依法维护合法权益。保护挖掘传统农耕文化的优秀思想、人文精神、道德规范，发挥其在凝聚人心、教化群众的作用。推进农村精神文明建设，加强“一约六会”建设，崇尚孝善、尊老爱幼，培养文明乡风、良好家风、淳朴民风，引导群众移风易俗。开展文明创建活动，争创省、市级文明村镇，开展新时代星级文明户评选活动，营造文明和谐的乡村氛围。</w:t>
      </w:r>
    </w:p>
    <w:p>
      <w:pPr>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推进</w:t>
      </w:r>
      <w:r>
        <w:rPr>
          <w:rFonts w:ascii="仿宋_GB2312" w:hAnsi="仿宋" w:eastAsia="仿宋_GB2312"/>
          <w:b/>
          <w:color w:val="000000" w:themeColor="text1"/>
          <w:sz w:val="32"/>
          <w:szCs w:val="32"/>
          <w14:textFill>
            <w14:solidFill>
              <w14:schemeClr w14:val="tx1"/>
            </w14:solidFill>
          </w14:textFill>
        </w:rPr>
        <w:t>乡村人才振兴</w:t>
      </w:r>
      <w:r>
        <w:rPr>
          <w:rFonts w:hint="eastAsia" w:ascii="仿宋_GB2312" w:hAnsi="仿宋" w:eastAsia="仿宋_GB2312"/>
          <w:b/>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实施高素质农民培养计划，建立健全政府主导、部门协作、统筹安排、产业带动的培训机制。分类分层分模块组织开展产业带头人、新型农业经营主体经营者（农业经理人）、返乡入乡创新创业者、专业种养加能手培养行动，提高现代农业理念、科技文化素养和经营管理技能，着力培育一批爱农业、懂技术、善管理的实用人才队伍。“十四五”期间，培育高素质农民3500人左右、高素质农业生产经营者1000人以上。加大人才引进力度，鼓励事业单位专业技术人员到乡村、企业兼职或创业，鼓励民权“博士团”成员、党政干部、专家学者、医生教师、科技人员等社会各界人士深入乡村一线，投身乡村建设。积极搭建创业平台，鼓励外出务工人员、高校毕业生等返乡创业，不断壮大创新创业主体。</w:t>
      </w:r>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74" w:name="_Toc62400261"/>
      <w:bookmarkStart w:id="75" w:name="_Toc71192377"/>
      <w:r>
        <w:rPr>
          <w:rFonts w:hint="eastAsia" w:ascii="Times New Roman" w:hAnsi="Times New Roman" w:eastAsia="楷体"/>
          <w:bCs w:val="0"/>
          <w:color w:val="000000" w:themeColor="text1"/>
          <w:szCs w:val="20"/>
          <w14:textFill>
            <w14:solidFill>
              <w14:schemeClr w14:val="tx1"/>
            </w14:solidFill>
          </w14:textFill>
        </w:rPr>
        <w:t>第四节 激发乡村发展活力</w:t>
      </w:r>
      <w:bookmarkEnd w:id="74"/>
      <w:bookmarkEnd w:id="75"/>
    </w:p>
    <w:p>
      <w:pPr>
        <w:ind w:firstLine="643" w:firstLineChars="200"/>
        <w:rPr>
          <w:rFonts w:ascii="仿宋" w:hAnsi="仿宋" w:eastAsia="仿宋_GB2312" w:cs="仿宋"/>
          <w:color w:val="000000" w:themeColor="text1"/>
          <w:sz w:val="32"/>
          <w:szCs w:val="32"/>
          <w14:textFill>
            <w14:solidFill>
              <w14:schemeClr w14:val="tx1"/>
            </w14:solidFill>
          </w14:textFill>
        </w:rPr>
      </w:pPr>
      <w:r>
        <w:rPr>
          <w:rFonts w:hint="eastAsia" w:ascii="楷体" w:hAnsi="楷体" w:eastAsia="仿宋_GB2312" w:cs="楷体"/>
          <w:b/>
          <w:color w:val="000000" w:themeColor="text1"/>
          <w:sz w:val="32"/>
          <w:szCs w:val="32"/>
          <w14:textFill>
            <w14:solidFill>
              <w14:schemeClr w14:val="tx1"/>
            </w14:solidFill>
          </w14:textFill>
        </w:rPr>
        <w:t>全面深化农村多项改革。</w:t>
      </w:r>
      <w:r>
        <w:rPr>
          <w:rFonts w:hint="eastAsia" w:ascii="仿宋" w:hAnsi="仿宋" w:eastAsia="仿宋_GB2312" w:cs="仿宋"/>
          <w:color w:val="000000" w:themeColor="text1"/>
          <w:sz w:val="32"/>
          <w:szCs w:val="32"/>
          <w14:textFill>
            <w14:solidFill>
              <w14:schemeClr w14:val="tx1"/>
            </w14:solidFill>
          </w14:textFill>
        </w:rPr>
        <w:t>落实第二轮土地承包到期后再延长三十年政策，探索农村承包土地“三权分置”的有效实现形式，创新土地流转、土地托管、土地银行等模式，推进土地有序流转，发展多种形式适度规模经营。探索宅基地所有权、资格权、使用权“三权分置”实现形式，盘活利用闲置宅基地和闲置农房。保障进城落户农民土地承包权、宅基地使用权、集体收益分配权，鼓励依法自愿有偿转让。探索推进集体经营性建设用地入市，健全城乡统一的建设用地市场，统筹推进农村土地征收制度改革。开展农村集体产权制度改革，建立农村产权流转交易市场体系，鼓励农村集体经济组织利用未承包的“四荒”地、果园、养殖水面等发展现代农业，多种形式发展新型农村集体经济。</w:t>
      </w:r>
    </w:p>
    <w:p>
      <w:pPr>
        <w:ind w:firstLine="643" w:firstLineChars="200"/>
        <w:rPr>
          <w:rFonts w:ascii="仿宋" w:hAnsi="仿宋" w:eastAsia="仿宋_GB2312" w:cs="仿宋"/>
          <w:color w:val="000000" w:themeColor="text1"/>
          <w:sz w:val="32"/>
          <w:szCs w:val="32"/>
          <w14:textFill>
            <w14:solidFill>
              <w14:schemeClr w14:val="tx1"/>
            </w14:solidFill>
          </w14:textFill>
        </w:rPr>
      </w:pPr>
      <w:r>
        <w:rPr>
          <w:rFonts w:hint="eastAsia" w:ascii="楷体" w:hAnsi="楷体" w:eastAsia="仿宋_GB2312" w:cs="楷体"/>
          <w:b/>
          <w:color w:val="000000" w:themeColor="text1"/>
          <w:sz w:val="32"/>
          <w:szCs w:val="32"/>
          <w14:textFill>
            <w14:solidFill>
              <w14:schemeClr w14:val="tx1"/>
            </w14:solidFill>
          </w14:textFill>
        </w:rPr>
        <w:t>推进巩固拓展脱贫攻坚成果同乡村振兴有效衔接。</w:t>
      </w:r>
      <w:r>
        <w:rPr>
          <w:rFonts w:hint="eastAsia" w:ascii="楷体" w:hAnsi="楷体" w:eastAsia="仿宋_GB2312" w:cs="楷体"/>
          <w:color w:val="000000" w:themeColor="text1"/>
          <w:sz w:val="32"/>
          <w:szCs w:val="32"/>
          <w14:textFill>
            <w14:solidFill>
              <w14:schemeClr w14:val="tx1"/>
            </w14:solidFill>
          </w14:textFill>
        </w:rPr>
        <w:t>坚决守住脱贫攻坚成果，严格落实五年过渡期内“四个不摘”要求，建立健全巩固拓展脱贫攻坚成果长效机制。</w:t>
      </w:r>
      <w:r>
        <w:rPr>
          <w:rFonts w:hint="eastAsia" w:ascii="仿宋" w:hAnsi="仿宋" w:eastAsia="仿宋_GB2312" w:cs="仿宋"/>
          <w:color w:val="000000" w:themeColor="text1"/>
          <w:sz w:val="32"/>
          <w:szCs w:val="32"/>
          <w14:textFill>
            <w14:solidFill>
              <w14:schemeClr w14:val="tx1"/>
            </w14:solidFill>
          </w14:textFill>
        </w:rPr>
        <w:t>坚持开发式扶贫和保障性兜底相结合，健全农村社会保障和救助制度，持续落实农村低收入人口帮扶机制，保持财政投入力度总体稳定。强化产业扶贫、就业扶贫、消费扶贫和后续扶贫，支持脱贫地区发展特色种养产业，加强扶贫项目资金资产管理和监督，推动特色产业可持续发展。健全防止返贫动态监测和精准帮扶机制，加强对易返贫致贫人口实施常态化监测，将返贫人口和新发生贫困人口及时纳入帮扶，为巩固脱贫成果提供制度保障。统筹推进脱贫村和非贫困村协调发展，加强对非贫困村基础设施、公共服务、产业发展等方面的项目建设和支持力度，补齐非贫困村发展短板，为实施乡村振兴战略打下坚实基础。</w:t>
      </w:r>
    </w:p>
    <w:p>
      <w:pPr>
        <w:widowControl/>
        <w:jc w:val="left"/>
        <w:rPr>
          <w:b/>
          <w:bCs/>
          <w:color w:val="000000" w:themeColor="text1"/>
          <w14:textFill>
            <w14:solidFill>
              <w14:schemeClr w14:val="tx1"/>
            </w14:solidFill>
          </w14:textFill>
        </w:rPr>
      </w:pPr>
      <w:r>
        <w:rPr>
          <w:b/>
          <w:bCs/>
          <w:color w:val="000000" w:themeColor="text1"/>
          <w14:textFill>
            <w14:solidFill>
              <w14:schemeClr w14:val="tx1"/>
            </w14:solidFill>
          </w14:textFill>
        </w:rPr>
        <w:br w:type="page"/>
      </w:r>
    </w:p>
    <w:p>
      <w:pPr>
        <w:pStyle w:val="2"/>
        <w:adjustRightInd w:val="0"/>
        <w:snapToGrid w:val="0"/>
        <w:spacing w:before="156" w:beforeLines="50" w:after="156" w:afterLines="50" w:line="240" w:lineRule="auto"/>
        <w:jc w:val="center"/>
        <w:rPr>
          <w:rFonts w:ascii="Times New Roman" w:hAnsi="Times New Roman" w:eastAsia="黑体"/>
          <w:b w:val="0"/>
          <w:color w:val="000000" w:themeColor="text1"/>
          <w:sz w:val="32"/>
          <w14:textFill>
            <w14:solidFill>
              <w14:schemeClr w14:val="tx1"/>
            </w14:solidFill>
          </w14:textFill>
        </w:rPr>
      </w:pPr>
      <w:bookmarkStart w:id="76" w:name="_Toc71192378"/>
      <w:bookmarkStart w:id="77" w:name="_Toc51309227"/>
      <w:r>
        <w:rPr>
          <w:rFonts w:hint="eastAsia" w:ascii="Times New Roman" w:hAnsi="Times New Roman" w:eastAsia="黑体"/>
          <w:b w:val="0"/>
          <w:color w:val="000000" w:themeColor="text1"/>
          <w:sz w:val="32"/>
          <w14:textFill>
            <w14:solidFill>
              <w14:schemeClr w14:val="tx1"/>
            </w14:solidFill>
          </w14:textFill>
        </w:rPr>
        <w:t>第五章 坚持绿色发展，建设高标准全域生态文明城</w:t>
      </w:r>
      <w:bookmarkEnd w:id="76"/>
    </w:p>
    <w:p>
      <w:pPr>
        <w:ind w:firstLine="640" w:firstLineChars="200"/>
        <w:rPr>
          <w:rFonts w:ascii="仿宋_GB2312" w:eastAsia="仿宋_GB2312"/>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坚持绿色发展，加快建设黄河故道生态走廊，严守生态保护红线，加大生态系统保护力度，立足源头减排，建设天蓝、地绿、水清新民权，着力推动绿色低碳发展，建设高标准全域生态文明城。</w:t>
      </w:r>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78" w:name="_Toc71192379"/>
      <w:r>
        <w:rPr>
          <w:rFonts w:hint="eastAsia" w:ascii="Times New Roman" w:hAnsi="Times New Roman" w:eastAsia="楷体"/>
          <w:bCs w:val="0"/>
          <w:color w:val="000000" w:themeColor="text1"/>
          <w:szCs w:val="20"/>
          <w14:textFill>
            <w14:solidFill>
              <w14:schemeClr w14:val="tx1"/>
            </w14:solidFill>
          </w14:textFill>
        </w:rPr>
        <w:t>第一节 打造黄河故道生态走廊</w:t>
      </w:r>
      <w:bookmarkEnd w:id="78"/>
    </w:p>
    <w:p>
      <w:pPr>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加强黄河故道生态保护与修复。</w:t>
      </w:r>
      <w:r>
        <w:rPr>
          <w:rFonts w:hint="eastAsia" w:ascii="仿宋_GB2312" w:eastAsia="仿宋_GB2312"/>
          <w:color w:val="000000" w:themeColor="text1"/>
          <w:sz w:val="32"/>
          <w:szCs w:val="32"/>
          <w14:textFill>
            <w14:solidFill>
              <w14:schemeClr w14:val="tx1"/>
            </w14:solidFill>
          </w14:textFill>
        </w:rPr>
        <w:t>科学划定并严守湿地生态保护红线，开展黄河故道国际重要湿地生态景观规划，确定重点恢复区，全面开展黄河故道生态保护与景观修复工程。加快实施任庄、林七、吴屯水库清淤扩容工程，库容量达到1亿立方米。实施退耕还湿、生态搬迁、生态补水等工程，最大限度保留、恢复原生湿地景观和自然风貌。编制物种保护名录，以青头潜鸭、东方白鹳等珍稀野生鸟类为重点，打造黄河故道国际重要湿地鸟类栖息与繁殖地，保护湿地生物多样性。完善生态保护红线监管制度，严格生态保护联合执法，严厉打击湿地内乱挖乱建、乱砍乱伐、乱捕乱猎等违法犯罪行为，全面提升管护能力。</w:t>
      </w:r>
    </w:p>
    <w:p>
      <w:pPr>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提升黄河故道国际重要湿地品牌形象。</w:t>
      </w:r>
      <w:r>
        <w:rPr>
          <w:rFonts w:hint="eastAsia" w:ascii="仿宋_GB2312" w:eastAsia="仿宋_GB2312"/>
          <w:color w:val="000000" w:themeColor="text1"/>
          <w:sz w:val="32"/>
          <w:szCs w:val="32"/>
          <w14:textFill>
            <w14:solidFill>
              <w14:schemeClr w14:val="tx1"/>
            </w14:solidFill>
          </w14:textFill>
        </w:rPr>
        <w:t>依托鲲鹏湖、秋水湖、龙泽湖，着力抓好水、路、林融合贯通，连接湿地公园和生态公园。加强与北京林业大学等院所的密切合作，推进青头潜鸭栖息繁殖课题研究成果出炉，创建黄河故道自然保护区教学科研基地，建设湿地科普文化馆，促进产学研结合，推进黄河故道生态保护与高质量发展。依托黄河故道特色资源优势，准确定位品牌形象，加大生态品牌宣传力度，保护流域生态文明。</w:t>
      </w:r>
    </w:p>
    <w:p>
      <w:pPr>
        <w:ind w:firstLine="643" w:firstLineChars="200"/>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提升国家生态公园品质。</w:t>
      </w:r>
      <w:r>
        <w:rPr>
          <w:rFonts w:hint="eastAsia" w:ascii="仿宋_GB2312" w:eastAsia="仿宋_GB2312"/>
          <w:bCs/>
          <w:color w:val="000000" w:themeColor="text1"/>
          <w:sz w:val="32"/>
          <w:szCs w:val="32"/>
          <w14:textFill>
            <w14:solidFill>
              <w14:schemeClr w14:val="tx1"/>
            </w14:solidFill>
          </w14:textFill>
        </w:rPr>
        <w:t>以申甘林带为核心，</w:t>
      </w:r>
      <w:r>
        <w:rPr>
          <w:rFonts w:hint="eastAsia" w:ascii="仿宋_GB2312" w:eastAsia="仿宋_GB2312"/>
          <w:color w:val="000000" w:themeColor="text1"/>
          <w:sz w:val="32"/>
          <w:szCs w:val="32"/>
          <w14:textFill>
            <w14:solidFill>
              <w14:schemeClr w14:val="tx1"/>
            </w14:solidFill>
          </w14:textFill>
        </w:rPr>
        <w:t>加快沿线沟、河、路、渠绿化，打造黄河故道平原林业和水岸林业特色生态景观带。大力开展防风固沙林、沙荒造林和农田防护林建设，营造多树种混交林，科学配置防风固沙乡土树种，确保沙化土地得到有效治理。全面发展林下经济，鼓励林下种植食用菌和中药材，适度开放林下放牧空间，积极创建国家林下经济示范基地，探索生态产品价值实现和转化的“民权实践”。建设豫东生态康养度假区，推动申甘林带国家生态公园科普馆建设，宣传申甘林带发展历史，弘扬民权生态文明建设精神，着力打造集旅游、休闲、科普、教育于一体的国家级生态公园。</w:t>
      </w:r>
    </w:p>
    <w:p>
      <w:pPr>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加快黄河故道沿线村庄整治。</w:t>
      </w:r>
      <w:r>
        <w:rPr>
          <w:rFonts w:hint="eastAsia" w:ascii="仿宋_GB2312" w:eastAsia="仿宋_GB2312"/>
          <w:color w:val="000000" w:themeColor="text1"/>
          <w:sz w:val="32"/>
          <w:szCs w:val="32"/>
          <w14:textFill>
            <w14:solidFill>
              <w14:schemeClr w14:val="tx1"/>
            </w14:solidFill>
          </w14:textFill>
        </w:rPr>
        <w:t>加快完善黄河故道沿线村镇基础设施配套，着力打通主河道沿线主干道，提升道路等级，增加“两园一廊”绿道和专用自行车道。融合沿线特色产业、历史遗存与文化底蕴，突出庄子文化和特色建筑元素，建设“产、城、人、文”一体的生态宜居特色小镇。组织开展沿线村庄环境改善提升工程，做好农村环境卫生综合治理，努力打造一批黄河故道沿线美丽乡村，有效改善沿岸村庄景观风貌。</w:t>
      </w:r>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79" w:name="_Toc71192380"/>
      <w:r>
        <w:rPr>
          <w:rFonts w:hint="eastAsia" w:ascii="Times New Roman" w:hAnsi="Times New Roman" w:eastAsia="楷体"/>
          <w:bCs w:val="0"/>
          <w:color w:val="000000" w:themeColor="text1"/>
          <w:szCs w:val="20"/>
          <w14:textFill>
            <w14:solidFill>
              <w14:schemeClr w14:val="tx1"/>
            </w14:solidFill>
          </w14:textFill>
        </w:rPr>
        <w:t>第二节 推进全域生态保护建设</w:t>
      </w:r>
      <w:bookmarkEnd w:id="79"/>
    </w:p>
    <w:p>
      <w:pPr>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建设全域生态网络。</w:t>
      </w:r>
      <w:r>
        <w:rPr>
          <w:rFonts w:hint="eastAsia" w:ascii="仿宋_GB2312" w:eastAsia="仿宋_GB2312"/>
          <w:color w:val="000000" w:themeColor="text1"/>
          <w:sz w:val="32"/>
          <w:szCs w:val="32"/>
          <w14:textFill>
            <w14:solidFill>
              <w14:schemeClr w14:val="tx1"/>
            </w14:solidFill>
          </w14:textFill>
        </w:rPr>
        <w:t>按照生态功能划定生态保护红线，按照保质保量要求划定永久基本农田，按照集约适度、绿色发展要求划定城镇开发边界。坚持生态优先原则，协调城乡建设与生态保护矛盾。融合贯通全域路网、林网、水系和生态景观，逐步实现全县水系连通，构建全域生态网络。有序开展生物多样性本底调查与观测，构建生物多样性保护网络。统筹推进森林、湿地、河流、农田、城市五大生态系统建设，全面提升全域生态系统质量与稳定性。</w:t>
      </w:r>
      <w:r>
        <w:rPr>
          <w:rFonts w:hint="eastAsia" w:ascii="仿宋_GB2312" w:eastAsia="仿宋_GB2312"/>
          <w:bCs/>
          <w:color w:val="000000" w:themeColor="text1"/>
          <w:sz w:val="32"/>
          <w:szCs w:val="32"/>
          <w14:textFill>
            <w14:solidFill>
              <w14:schemeClr w14:val="tx1"/>
            </w14:solidFill>
          </w14:textFill>
        </w:rPr>
        <w:t>抓紧建成全县生态环境分区管控体系，落地“三线一单”。</w:t>
      </w:r>
    </w:p>
    <w:p>
      <w:pPr>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全面实施生态修复工程。</w:t>
      </w:r>
      <w:r>
        <w:rPr>
          <w:rFonts w:hint="eastAsia" w:ascii="仿宋_GB2312" w:eastAsia="仿宋_GB2312"/>
          <w:color w:val="000000" w:themeColor="text1"/>
          <w:sz w:val="32"/>
          <w:szCs w:val="32"/>
          <w14:textFill>
            <w14:solidFill>
              <w14:schemeClr w14:val="tx1"/>
            </w14:solidFill>
          </w14:textFill>
        </w:rPr>
        <w:t>以自然修复为主，人工修复为辅，加强水源涵养区、湿地等生态脆弱区的景观保护与修复。结合河道清淤、河岸部分硬化、植被修复等措施，在有条件的河流与主要支流建设人工湿地，加强水生态修复。加大引黄水量，保证河道生态水量。</w:t>
      </w:r>
      <w:r>
        <w:rPr>
          <w:rFonts w:hint="eastAsia" w:ascii="仿宋_GB2312" w:eastAsia="仿宋_GB2312"/>
          <w:bCs/>
          <w:color w:val="000000" w:themeColor="text1"/>
          <w:sz w:val="32"/>
          <w:szCs w:val="32"/>
          <w14:textFill>
            <w14:solidFill>
              <w14:schemeClr w14:val="tx1"/>
            </w14:solidFill>
          </w14:textFill>
        </w:rPr>
        <w:t>推进中小河流综合整治，尽快完成大沙河治理与景观河建设工程，全力推进坝坑塘、老城干渠、吴堂河道、通惠渠治理项目。</w:t>
      </w:r>
      <w:r>
        <w:rPr>
          <w:rFonts w:hint="eastAsia" w:ascii="仿宋_GB2312" w:eastAsia="仿宋_GB2312"/>
          <w:color w:val="000000" w:themeColor="text1"/>
          <w:sz w:val="32"/>
          <w:szCs w:val="32"/>
          <w14:textFill>
            <w14:solidFill>
              <w14:schemeClr w14:val="tx1"/>
            </w14:solidFill>
          </w14:textFill>
        </w:rPr>
        <w:t>加速推进科学划定饮用水源地保护红线和湿地保护工程。推进土壤基础调查和监测网络建设，加强土壤污染风险管控，稳步推进土壤修复，重点开展废弃厂区与垃圾堆积场的土壤污染治理与修复。健全耕地、森林、河流、湖泊休养生息制度，建立市场化、多元化生态保护补偿机制，完善自然资源开发补偿机制，稳步推进排污权交易，完善水权配置，健全碳排放权抵消机制。</w:t>
      </w:r>
    </w:p>
    <w:p>
      <w:pPr>
        <w:ind w:firstLine="643" w:firstLineChars="200"/>
        <w:rPr>
          <w:rFonts w:ascii="仿宋_GB2312" w:eastAsia="仿宋_GB2312"/>
          <w:bCs/>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开展全域国土绿化提速行动。</w:t>
      </w:r>
      <w:r>
        <w:rPr>
          <w:rFonts w:hint="eastAsia" w:ascii="仿宋_GB2312" w:eastAsia="仿宋_GB2312"/>
          <w:bCs/>
          <w:color w:val="000000" w:themeColor="text1"/>
          <w:sz w:val="32"/>
          <w:szCs w:val="32"/>
          <w14:textFill>
            <w14:solidFill>
              <w14:schemeClr w14:val="tx1"/>
            </w14:solidFill>
          </w14:textFill>
        </w:rPr>
        <w:t>加快建成国家木材战略储备基地，增加活立木储备，保障国家木材安全。加快全域沟、河、路、渠绿化，重点加强黄河故道、郑徐高铁、连霍高速、郑民高速、220国道、324省道、背河洼地林网、民睢干渠和农田林网等绿化补植补栽。以优质乡土树种为主，逐步推进无絮杨替代有絮杨，适当栽植园林绿化树种。做大做强林业产业，扩大特色经济林、苗木花卉、林下经济面积和规模，引导培育木材加工企业，发展林业专业合作社和家庭林场，扶持龙头企业。至2025年，全县完成造林2.1万亩、森林抚育3.5万亩，林木覆盖率达到36％，林业产值达到26亿元。做好林业有害生物防治和森林防火工作。切实加强林地红线管理工作，严禁改变林地用途。严格执行占用征收林地补偿标准和森林植被恢复费征收标准。推进森林可持续经营，加快编制森林经营规划。全面推进“林长制”，坚决打击非法占用林地、毁林开垦、乱砍滥伐等破坏森林资源的行为。</w:t>
      </w:r>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80" w:name="_Toc71192381"/>
      <w:r>
        <w:rPr>
          <w:rFonts w:hint="eastAsia" w:ascii="Times New Roman" w:hAnsi="Times New Roman" w:eastAsia="楷体"/>
          <w:bCs w:val="0"/>
          <w:color w:val="000000" w:themeColor="text1"/>
          <w:szCs w:val="20"/>
          <w14:textFill>
            <w14:solidFill>
              <w14:schemeClr w14:val="tx1"/>
            </w14:solidFill>
          </w14:textFill>
        </w:rPr>
        <w:t>第三节 持续改善环境质量</w:t>
      </w:r>
      <w:bookmarkEnd w:id="80"/>
    </w:p>
    <w:p>
      <w:pPr>
        <w:ind w:firstLine="640" w:firstLineChars="200"/>
        <w:rPr>
          <w:rFonts w:ascii="仿宋_GB2312" w:eastAsia="仿宋_GB2312"/>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深入打好污染防治攻坚战，立足源头减排，大幅降低主要污染物排放总量，有效改善环境质量。</w:t>
      </w:r>
    </w:p>
    <w:p>
      <w:pPr>
        <w:ind w:firstLine="643" w:firstLineChars="200"/>
        <w:rPr>
          <w:rFonts w:ascii="仿宋_GB2312" w:eastAsia="仿宋_GB2312"/>
          <w:bCs/>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着力打好蓝天保卫战。</w:t>
      </w:r>
      <w:r>
        <w:rPr>
          <w:rFonts w:hint="eastAsia" w:ascii="仿宋_GB2312" w:eastAsia="仿宋_GB2312"/>
          <w:bCs/>
          <w:color w:val="000000" w:themeColor="text1"/>
          <w:sz w:val="32"/>
          <w:szCs w:val="32"/>
          <w14:textFill>
            <w14:solidFill>
              <w14:schemeClr w14:val="tx1"/>
            </w14:solidFill>
          </w14:textFill>
        </w:rPr>
        <w:t>巩固大气污染防治成果，主要污染因子PM</w:t>
      </w:r>
      <w:r>
        <w:rPr>
          <w:rFonts w:hint="eastAsia" w:ascii="仿宋_GB2312" w:eastAsia="仿宋_GB2312"/>
          <w:bCs/>
          <w:color w:val="000000" w:themeColor="text1"/>
          <w:sz w:val="32"/>
          <w:szCs w:val="32"/>
          <w:vertAlign w:val="subscript"/>
          <w14:textFill>
            <w14:solidFill>
              <w14:schemeClr w14:val="tx1"/>
            </w14:solidFill>
          </w14:textFill>
        </w:rPr>
        <w:t>10</w:t>
      </w:r>
      <w:r>
        <w:rPr>
          <w:rFonts w:hint="eastAsia" w:ascii="仿宋_GB2312" w:eastAsia="仿宋_GB2312"/>
          <w:bCs/>
          <w:color w:val="000000" w:themeColor="text1"/>
          <w:sz w:val="32"/>
          <w:szCs w:val="32"/>
          <w14:textFill>
            <w14:solidFill>
              <w14:schemeClr w14:val="tx1"/>
            </w14:solidFill>
          </w14:textFill>
        </w:rPr>
        <w:t>、PM</w:t>
      </w:r>
      <w:r>
        <w:rPr>
          <w:rFonts w:hint="eastAsia" w:ascii="仿宋_GB2312" w:eastAsia="仿宋_GB2312"/>
          <w:bCs/>
          <w:color w:val="000000" w:themeColor="text1"/>
          <w:sz w:val="32"/>
          <w:szCs w:val="32"/>
          <w:vertAlign w:val="subscript"/>
          <w14:textFill>
            <w14:solidFill>
              <w14:schemeClr w14:val="tx1"/>
            </w14:solidFill>
          </w14:textFill>
        </w:rPr>
        <w:t>2.5</w:t>
      </w:r>
      <w:r>
        <w:rPr>
          <w:rFonts w:hint="eastAsia" w:ascii="仿宋_GB2312" w:eastAsia="仿宋_GB2312"/>
          <w:bCs/>
          <w:color w:val="000000" w:themeColor="text1"/>
          <w:sz w:val="32"/>
          <w:szCs w:val="32"/>
          <w14:textFill>
            <w14:solidFill>
              <w14:schemeClr w14:val="tx1"/>
            </w14:solidFill>
          </w14:textFill>
        </w:rPr>
        <w:t>持续下降，空气优良天数持续提升，基本消除重污染天气。切实打好减煤、控车、抑尘、治源、禁燃、增绿组合拳，加强PM</w:t>
      </w:r>
      <w:r>
        <w:rPr>
          <w:rFonts w:hint="eastAsia" w:ascii="仿宋_GB2312" w:eastAsia="仿宋_GB2312"/>
          <w:bCs/>
          <w:color w:val="000000" w:themeColor="text1"/>
          <w:sz w:val="32"/>
          <w:szCs w:val="32"/>
          <w:vertAlign w:val="subscript"/>
          <w14:textFill>
            <w14:solidFill>
              <w14:schemeClr w14:val="tx1"/>
            </w14:solidFill>
          </w14:textFill>
        </w:rPr>
        <w:t>2.5</w:t>
      </w:r>
      <w:r>
        <w:rPr>
          <w:rFonts w:hint="eastAsia" w:ascii="仿宋_GB2312" w:eastAsia="仿宋_GB2312"/>
          <w:bCs/>
          <w:color w:val="000000" w:themeColor="text1"/>
          <w:sz w:val="32"/>
          <w:szCs w:val="32"/>
          <w14:textFill>
            <w14:solidFill>
              <w14:schemeClr w14:val="tx1"/>
            </w14:solidFill>
          </w14:textFill>
        </w:rPr>
        <w:t>和</w:t>
      </w:r>
      <w:r>
        <w:rPr>
          <w:rFonts w:ascii="仿宋_GB2312" w:eastAsia="仿宋_GB2312"/>
          <w:bCs/>
          <w:color w:val="000000" w:themeColor="text1"/>
          <w:sz w:val="32"/>
          <w:szCs w:val="32"/>
          <w14:textFill>
            <w14:solidFill>
              <w14:schemeClr w14:val="tx1"/>
            </w14:solidFill>
          </w14:textFill>
        </w:rPr>
        <w:t>O</w:t>
      </w:r>
      <w:r>
        <w:rPr>
          <w:rFonts w:hint="eastAsia" w:ascii="仿宋_GB2312" w:eastAsia="仿宋_GB2312"/>
          <w:bCs/>
          <w:color w:val="000000" w:themeColor="text1"/>
          <w:sz w:val="32"/>
          <w:szCs w:val="32"/>
          <w:vertAlign w:val="subscript"/>
          <w14:textFill>
            <w14:solidFill>
              <w14:schemeClr w14:val="tx1"/>
            </w14:solidFill>
          </w14:textFill>
        </w:rPr>
        <w:t>3</w:t>
      </w:r>
      <w:r>
        <w:rPr>
          <w:rFonts w:hint="eastAsia" w:ascii="仿宋_GB2312" w:eastAsia="仿宋_GB2312"/>
          <w:bCs/>
          <w:color w:val="000000" w:themeColor="text1"/>
          <w:sz w:val="32"/>
          <w:szCs w:val="32"/>
          <w14:textFill>
            <w14:solidFill>
              <w14:schemeClr w14:val="tx1"/>
            </w14:solidFill>
          </w14:textFill>
        </w:rPr>
        <w:t>协同控制，深入开展VOCs综合治理。加快推进农村社区“双替代”工作，持续推进冬季清洁取暖，切实降低燃煤散烧量。强化重点工业污染的深度治理，加强建筑扬尘、道路扬尘、锅炉与窑炉综合整治、机动车和非道路移动机械尾气等污染防治，强化区域联防联控和重污染天气应对。加快“四大结构”调整，深入推进“三散”治理，健全“六控”常态化治理机制，推动环境污染由治标到治本转变。</w:t>
      </w:r>
    </w:p>
    <w:p>
      <w:pPr>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深入实施碧水保卫战。</w:t>
      </w:r>
      <w:r>
        <w:rPr>
          <w:rFonts w:hint="eastAsia" w:ascii="仿宋_GB2312" w:eastAsia="仿宋_GB2312"/>
          <w:color w:val="000000" w:themeColor="text1"/>
          <w:sz w:val="32"/>
          <w:szCs w:val="32"/>
          <w14:textFill>
            <w14:solidFill>
              <w14:schemeClr w14:val="tx1"/>
            </w14:solidFill>
          </w14:textFill>
        </w:rPr>
        <w:t>全面落实“河长制”“湖长制”，做好河湖“清四乱”专项清理整治、非法采砂专项行动、水污染防治、河湖管理范围划定、河湖生态修复、“四水同治”等工作，着力打造优质水资源、健康水生态、宜居水环境、先进水文化。加快推进雨污分流和现有合流管网系统改造，新增及改造污水管网60公里，加快民权县污水处理厂提标改造，完成民权县东区污水处理厂尾水湿地工程和黄河故道饮用水源地监管信息化平台建设项目。结合《民权县农村生活污水治理专项规划》，逐步推进农村污水管网与污水处理设施建设，改扩建农村生活污水处理设施20处。加强城市黑臭水体整治，促进城镇污水再利用，全面消除城市黑臭水体。加强饮用水源地及河湖等重点流域水环境保护与水污染防治。推进畜禽养殖污染防治，实现养殖废弃物循环利用，持续提高规模化畜禽养殖场污染治理设施配套率、粪污综合利用率。</w:t>
      </w:r>
    </w:p>
    <w:p>
      <w:pPr>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扎实开展净土保卫战。</w:t>
      </w:r>
      <w:r>
        <w:rPr>
          <w:rFonts w:hint="eastAsia" w:ascii="仿宋_GB2312" w:eastAsia="仿宋_GB2312"/>
          <w:color w:val="000000" w:themeColor="text1"/>
          <w:sz w:val="32"/>
          <w:szCs w:val="32"/>
          <w14:textFill>
            <w14:solidFill>
              <w14:schemeClr w14:val="tx1"/>
            </w14:solidFill>
          </w14:textFill>
        </w:rPr>
        <w:t>从源头上减少固体废物非法转移与倾倒,落实“谁污染谁负责、谁产废谁治理”的产生者连带责任制。开展重点行业企业用地调查，按照土壤污染类别与污染程度，规范、有序开展再开发地块治理与修复。推进工业固体废物资源化利用。推进城乡生活垃圾分类、收集与处理，加强非正规垃圾堆放点排查整治，重点推进城区原垃圾堆场的封场及土壤治理。深入推动农业测土配方施肥和农作物病虫害统防统治与全程绿色防控，积极宣传鼓励农民减少农药化肥量，</w:t>
      </w:r>
      <w:r>
        <w:rPr>
          <w:rFonts w:hint="eastAsia" w:ascii="仿宋_GB2312" w:eastAsia="仿宋_GB2312"/>
          <w:bCs/>
          <w:color w:val="000000" w:themeColor="text1"/>
          <w:sz w:val="32"/>
          <w:szCs w:val="32"/>
          <w14:textFill>
            <w14:solidFill>
              <w14:schemeClr w14:val="tx1"/>
            </w14:solidFill>
          </w14:textFill>
        </w:rPr>
        <w:t>加强农膜污染治理，</w:t>
      </w:r>
      <w:r>
        <w:rPr>
          <w:rFonts w:hint="eastAsia" w:ascii="仿宋_GB2312" w:eastAsia="仿宋_GB2312"/>
          <w:color w:val="000000" w:themeColor="text1"/>
          <w:sz w:val="32"/>
          <w:szCs w:val="32"/>
          <w14:textFill>
            <w14:solidFill>
              <w14:schemeClr w14:val="tx1"/>
            </w14:solidFill>
          </w14:textFill>
        </w:rPr>
        <w:t>实施农用地土壤环境质量分类管理，确保农用地和建设用地安全利用。加强危险废物和医疗废物收集、运输、处理，加强危险化学品企业生产监管。</w:t>
      </w:r>
    </w:p>
    <w:p>
      <w:pPr>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提升产业环境准入机制。</w:t>
      </w:r>
      <w:r>
        <w:rPr>
          <w:rFonts w:hint="eastAsia" w:ascii="仿宋_GB2312" w:eastAsia="仿宋_GB2312"/>
          <w:color w:val="000000" w:themeColor="text1"/>
          <w:sz w:val="32"/>
          <w:szCs w:val="32"/>
          <w14:textFill>
            <w14:solidFill>
              <w14:schemeClr w14:val="tx1"/>
            </w14:solidFill>
          </w14:textFill>
        </w:rPr>
        <w:t>严格执行环境准入制度，明确禁止和限制建设的产业门类和空间区域，严格污染物排放总量控制、污染物排放标准和清洁生产等要求，形成产业结构、生态空间和总量控制“三位一体”的环境准入模式，严禁重污染项目准入。执行严格的污染物排放标准。履行严格的环保倒逼机制，从源头控制污染排放，倒逼产业结构调整和布局优化。加快改善人居环境质量，防范环境安全风险，促进绿色低碳可持续发展。</w:t>
      </w:r>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81" w:name="_Toc71192382"/>
      <w:r>
        <w:rPr>
          <w:rFonts w:hint="eastAsia" w:ascii="Times New Roman" w:hAnsi="Times New Roman" w:eastAsia="楷体"/>
          <w:bCs w:val="0"/>
          <w:color w:val="000000" w:themeColor="text1"/>
          <w:szCs w:val="20"/>
          <w14:textFill>
            <w14:solidFill>
              <w14:schemeClr w14:val="tx1"/>
            </w14:solidFill>
          </w14:textFill>
        </w:rPr>
        <w:t>第四节 推动绿色低碳发展</w:t>
      </w:r>
      <w:bookmarkEnd w:id="81"/>
    </w:p>
    <w:p>
      <w:pPr>
        <w:ind w:firstLine="640" w:firstLineChars="200"/>
        <w:rPr>
          <w:rFonts w:ascii="仿宋_GB2312" w:eastAsia="仿宋_GB2312"/>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把碳达峰碳中和纳入生态文明建设整体布局，加快形成节约资源和保护环境的产业结构、能源结构、生产方式、生活方式，全面降低碳排放。</w:t>
      </w:r>
    </w:p>
    <w:p>
      <w:pPr>
        <w:ind w:firstLine="643" w:firstLineChars="200"/>
        <w:rPr>
          <w:rFonts w:ascii="仿宋_GB2312" w:eastAsia="仿宋_GB2312"/>
          <w:bCs/>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优化产业结构与能源体系。</w:t>
      </w:r>
      <w:r>
        <w:rPr>
          <w:rFonts w:hint="eastAsia" w:ascii="仿宋_GB2312" w:eastAsia="仿宋_GB2312"/>
          <w:bCs/>
          <w:color w:val="000000" w:themeColor="text1"/>
          <w:sz w:val="32"/>
          <w:szCs w:val="32"/>
          <w14:textFill>
            <w14:solidFill>
              <w14:schemeClr w14:val="tx1"/>
            </w14:solidFill>
          </w14:textFill>
        </w:rPr>
        <w:t>积极发展战略性新兴产业，加快推动现代服务业、高新技术产业和先进制造业发展。构建清洁低碳安全高效的能源体系，控制化石能源总量，着力提高利用效能，实施可再生能源替代行动。实施重点行业领域减污降碳行动，“十四五”末，单位GDP能源消耗、单位GDP二氧化碳排放达标。</w:t>
      </w:r>
    </w:p>
    <w:p>
      <w:pPr>
        <w:ind w:firstLine="643" w:firstLineChars="200"/>
        <w:rPr>
          <w:rFonts w:ascii="仿宋_GB2312" w:eastAsia="仿宋_GB2312"/>
          <w:bCs/>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构建绿色生产体系。</w:t>
      </w:r>
      <w:r>
        <w:rPr>
          <w:rFonts w:hint="eastAsia" w:ascii="仿宋_GB2312" w:eastAsia="仿宋_GB2312"/>
          <w:bCs/>
          <w:color w:val="000000" w:themeColor="text1"/>
          <w:sz w:val="32"/>
          <w:szCs w:val="32"/>
          <w14:textFill>
            <w14:solidFill>
              <w14:schemeClr w14:val="tx1"/>
            </w14:solidFill>
          </w14:textFill>
        </w:rPr>
        <w:t>推进工业绿色升级，加快实施高污染行业绿色化改造，推行产品绿色设计，大力发展再制造产业，促进工业固体废物综合利用，全面推行清洁生产。加快农业绿色发展，鼓励发展生态种植、生态养殖，加强绿色食品、有机农产品认证和管理，发展生态循环农业，推进农作物秸秆综合利用。发展林业循环经济，实施森林生态标志产品建设工程。推动快递物流、住宿餐饮等服务业服务过程清洁化、消费模式绿色化、</w:t>
      </w:r>
      <w:r>
        <w:rPr>
          <w:rFonts w:ascii="仿宋_GB2312" w:eastAsia="仿宋_GB2312"/>
          <w:bCs/>
          <w:color w:val="000000" w:themeColor="text1"/>
          <w:sz w:val="32"/>
          <w:szCs w:val="32"/>
          <w14:textFill>
            <w14:solidFill>
              <w14:schemeClr w14:val="tx1"/>
            </w14:solidFill>
          </w14:textFill>
        </w:rPr>
        <w:t>废弃物资源化</w:t>
      </w:r>
      <w:r>
        <w:rPr>
          <w:rFonts w:hint="eastAsia" w:ascii="仿宋_GB2312" w:eastAsia="仿宋_GB2312"/>
          <w:bCs/>
          <w:color w:val="000000" w:themeColor="text1"/>
          <w:sz w:val="32"/>
          <w:szCs w:val="32"/>
          <w14:textFill>
            <w14:solidFill>
              <w14:schemeClr w14:val="tx1"/>
            </w14:solidFill>
          </w14:textFill>
        </w:rPr>
        <w:t>。构建绿色供应链，逐步实现产品全周期绿色环保。加快推广应用减污降碳技术，建立完善绿色低碳技术评估、交易体系和科技创新服务平台。</w:t>
      </w:r>
    </w:p>
    <w:p>
      <w:pPr>
        <w:ind w:firstLine="643" w:firstLineChars="200"/>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健全绿色流通体系。</w:t>
      </w:r>
      <w:r>
        <w:rPr>
          <w:rFonts w:hint="eastAsia" w:ascii="仿宋_GB2312" w:eastAsia="仿宋_GB2312"/>
          <w:bCs/>
          <w:color w:val="000000" w:themeColor="text1"/>
          <w:sz w:val="32"/>
          <w:szCs w:val="32"/>
          <w14:textFill>
            <w14:solidFill>
              <w14:schemeClr w14:val="tx1"/>
            </w14:solidFill>
          </w14:textFill>
        </w:rPr>
        <w:t>打造绿色物流，推广绿色低碳运输工具，淘汰更新或改造老旧交通工具，推动机场服务、城市物流配送、邮政快递等领域优先使用新能源或清洁能源汽车。加强废旧家电、报废汽车、废纸、废塑料、废旧轮胎、废金属、废玻璃等再生资源回收利用，提升资源产出率和回收利用率，推进垃圾分类回收与再生资源回收“两网融合”。优化贸易结构，大力发展高质量、高附加值的绿色产品贸易。</w:t>
      </w:r>
    </w:p>
    <w:p>
      <w:pPr>
        <w:ind w:firstLine="643" w:firstLineChars="200"/>
        <w:rPr>
          <w:rFonts w:ascii="仿宋_GB2312" w:eastAsia="仿宋_GB2312"/>
          <w:bCs/>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促进绿色产品消费。</w:t>
      </w:r>
      <w:r>
        <w:rPr>
          <w:rFonts w:hint="eastAsia" w:ascii="仿宋_GB2312" w:eastAsia="仿宋_GB2312"/>
          <w:bCs/>
          <w:color w:val="000000" w:themeColor="text1"/>
          <w:sz w:val="32"/>
          <w:szCs w:val="32"/>
          <w14:textFill>
            <w14:solidFill>
              <w14:schemeClr w14:val="tx1"/>
            </w14:solidFill>
          </w14:textFill>
        </w:rPr>
        <w:t>加大政府绿色采购力度，扩大绿色产品采购范围。加强对企业和居民采购绿色产品的引导，支持促进绿色消费。推动线上线下销售平台设立绿色产品销售专区，扩大节能、环保、绿色产品销售，加强绿色产品集中展示和宣传。加强绿色有机产品认证管理，严厉打击虚标绿色产品行为，推动有关行政处罚等信息纳入国家企业信用信息公示系统。</w:t>
      </w:r>
    </w:p>
    <w:p>
      <w:pPr>
        <w:ind w:firstLine="643" w:firstLineChars="200"/>
        <w:rPr>
          <w:rFonts w:ascii="仿宋_GB2312" w:eastAsia="仿宋_GB2312"/>
          <w:bCs/>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践行绿色生活方式。</w:t>
      </w:r>
      <w:r>
        <w:rPr>
          <w:rFonts w:hint="eastAsia" w:ascii="仿宋_GB2312" w:eastAsia="仿宋_GB2312"/>
          <w:bCs/>
          <w:color w:val="000000" w:themeColor="text1"/>
          <w:sz w:val="32"/>
          <w:szCs w:val="32"/>
          <w14:textFill>
            <w14:solidFill>
              <w14:schemeClr w14:val="tx1"/>
            </w14:solidFill>
          </w14:textFill>
        </w:rPr>
        <w:t>提高生态文明意识，倡导勤俭节约、绿色低碳、文明健康的生活方式，力戒奢侈浪费和不合理消费。节约集约利用水、电、气、油等资源，积极开展节约型机关、绿色家庭、绿色学校、绿色社区等绿色生活创建活动。提升人民群众参与创建的主动性和自觉性，培养热爱自然和保护自然的环保意识。实行生活垃圾减量分类。倡导慢行优先、公交优先、绿色优先，鼓励公共交通、步行和自行车等绿色出行方式。</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8288"/>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jc w:val="center"/>
        </w:trPr>
        <w:tc>
          <w:tcPr>
            <w:tcW w:w="8288" w:type="dxa"/>
            <w:tcBorders>
              <w:top w:val="single" w:color="auto" w:sz="4" w:space="0"/>
              <w:left w:val="single" w:color="auto" w:sz="4" w:space="0"/>
              <w:bottom w:val="single" w:color="auto" w:sz="4" w:space="0"/>
              <w:right w:val="single" w:color="auto" w:sz="4" w:space="0"/>
            </w:tcBorders>
          </w:tcPr>
          <w:p>
            <w:pP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专栏</w:t>
            </w:r>
            <w:r>
              <w:rPr>
                <w:rFonts w:ascii="黑体" w:hAnsi="黑体" w:eastAsia="黑体"/>
                <w:color w:val="000000" w:themeColor="text1"/>
                <w:sz w:val="24"/>
                <w:szCs w:val="24"/>
                <w14:textFill>
                  <w14:solidFill>
                    <w14:schemeClr w14:val="tx1"/>
                  </w14:solidFill>
                </w14:textFill>
              </w:rPr>
              <w:t>5</w:t>
            </w:r>
            <w:r>
              <w:rPr>
                <w:rFonts w:hint="eastAsia" w:ascii="黑体" w:hAnsi="黑体" w:eastAsia="黑体"/>
                <w:color w:val="000000" w:themeColor="text1"/>
                <w:sz w:val="24"/>
                <w:szCs w:val="24"/>
                <w14:textFill>
                  <w14:solidFill>
                    <w14:schemeClr w14:val="tx1"/>
                  </w14:solidFill>
                </w14:textFill>
              </w:rPr>
              <w:t>-</w:t>
            </w:r>
            <w:r>
              <w:rPr>
                <w:rFonts w:ascii="黑体" w:hAnsi="黑体" w:eastAsia="黑体"/>
                <w:color w:val="000000" w:themeColor="text1"/>
                <w:sz w:val="24"/>
                <w:szCs w:val="24"/>
                <w14:textFill>
                  <w14:solidFill>
                    <w14:schemeClr w14:val="tx1"/>
                  </w14:solidFill>
                </w14:textFill>
              </w:rPr>
              <w:t>1</w:t>
            </w:r>
            <w:r>
              <w:rPr>
                <w:rFonts w:hint="eastAsia" w:ascii="黑体" w:hAnsi="黑体" w:eastAsia="黑体"/>
                <w:color w:val="000000" w:themeColor="text1"/>
                <w:sz w:val="24"/>
                <w:szCs w:val="24"/>
                <w14:textFill>
                  <w14:solidFill>
                    <w14:schemeClr w14:val="tx1"/>
                  </w14:solidFill>
                </w14:textFill>
              </w:rPr>
              <w:t>：生态环境建设重点项目</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692" w:hRule="atLeast"/>
          <w:jc w:val="center"/>
        </w:trPr>
        <w:tc>
          <w:tcPr>
            <w:tcW w:w="8288" w:type="dxa"/>
            <w:tcBorders>
              <w:top w:val="single" w:color="auto" w:sz="4" w:space="0"/>
              <w:left w:val="single" w:color="auto" w:sz="4" w:space="0"/>
              <w:bottom w:val="single" w:color="auto" w:sz="4" w:space="0"/>
              <w:right w:val="single" w:color="auto" w:sz="4" w:space="0"/>
            </w:tcBorders>
          </w:tcPr>
          <w:p>
            <w:pPr>
              <w:ind w:firstLine="422" w:firstLineChars="200"/>
              <w:jc w:val="left"/>
              <w:rPr>
                <w:rFonts w:ascii="宋体" w:hAnsi="宋体"/>
                <w:bCs/>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黄河故道湿地保护与修复</w:t>
            </w:r>
            <w:r>
              <w:rPr>
                <w:rFonts w:hint="eastAsia" w:ascii="宋体" w:hAnsi="宋体"/>
                <w:b/>
                <w:color w:val="000000" w:themeColor="text1"/>
                <w:szCs w:val="21"/>
                <w14:textFill>
                  <w14:solidFill>
                    <w14:schemeClr w14:val="tx1"/>
                  </w14:solidFill>
                </w14:textFill>
              </w:rPr>
              <w:t>：</w:t>
            </w:r>
            <w:r>
              <w:rPr>
                <w:rFonts w:hint="eastAsia" w:ascii="宋体" w:hAnsi="宋体"/>
                <w:bCs/>
                <w:color w:val="000000" w:themeColor="text1"/>
                <w:szCs w:val="21"/>
                <w14:textFill>
                  <w14:solidFill>
                    <w14:schemeClr w14:val="tx1"/>
                  </w14:solidFill>
                </w14:textFill>
              </w:rPr>
              <w:t>黄河故道水库清淤扩容，水生态修复综合治理，湿地植被群落优化配置，黄河故道原生湿地景观保护与修复，湿地防护围网工程。</w:t>
            </w:r>
          </w:p>
          <w:p>
            <w:pPr>
              <w:ind w:firstLine="422" w:firstLineChars="200"/>
              <w:jc w:val="left"/>
              <w:rPr>
                <w:rFonts w:ascii="宋体" w:hAnsi="宋体"/>
                <w:bCs/>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黄河故道湿地鸟类栖息、繁殖地</w:t>
            </w:r>
            <w:r>
              <w:rPr>
                <w:rFonts w:hint="eastAsia" w:ascii="宋体" w:hAnsi="宋体"/>
                <w:bCs/>
                <w:color w:val="000000" w:themeColor="text1"/>
                <w:szCs w:val="21"/>
                <w14:textFill>
                  <w14:solidFill>
                    <w14:schemeClr w14:val="tx1"/>
                  </w14:solidFill>
                </w14:textFill>
              </w:rPr>
              <w:t>：营建民权黄河故道湿地鸟类栖息、繁殖地，建设人工鸟岛，设立鸟类保护管理处。</w:t>
            </w:r>
          </w:p>
          <w:p>
            <w:pPr>
              <w:ind w:firstLine="422" w:firstLineChars="200"/>
              <w:jc w:val="left"/>
              <w:rPr>
                <w:rFonts w:ascii="宋体" w:hAnsi="宋体"/>
                <w:bCs/>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国家储备林基地建设：</w:t>
            </w:r>
            <w:r>
              <w:rPr>
                <w:rFonts w:hint="eastAsia" w:ascii="宋体" w:hAnsi="宋体"/>
                <w:bCs/>
                <w:color w:val="000000" w:themeColor="text1"/>
                <w:szCs w:val="21"/>
                <w14:textFill>
                  <w14:solidFill>
                    <w14:schemeClr w14:val="tx1"/>
                  </w14:solidFill>
                </w14:textFill>
              </w:rPr>
              <w:t>黄河故道两侧生态林带建设，乡镇及行政村沟、河、路、渠绿化，树种结构优化，森林资源保护与火灾防治，申甘林带国家生态公园提质改造，申甘林带国家生态公园科普馆创建。</w:t>
            </w:r>
          </w:p>
          <w:p>
            <w:pPr>
              <w:ind w:firstLine="422" w:firstLineChars="200"/>
              <w:jc w:val="left"/>
              <w:rPr>
                <w:rFonts w:ascii="宋体" w:hAnsi="宋体"/>
                <w:bCs/>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农田防护林工程：</w:t>
            </w:r>
            <w:r>
              <w:rPr>
                <w:rFonts w:hint="eastAsia" w:ascii="宋体" w:hAnsi="宋体"/>
                <w:bCs/>
                <w:color w:val="000000" w:themeColor="text1"/>
                <w:szCs w:val="21"/>
                <w14:textFill>
                  <w14:solidFill>
                    <w14:schemeClr w14:val="tx1"/>
                  </w14:solidFill>
                </w14:textFill>
              </w:rPr>
              <w:t>完成农田防护林工程0.2万亩。</w:t>
            </w:r>
          </w:p>
          <w:p>
            <w:pPr>
              <w:ind w:firstLine="422" w:firstLineChars="200"/>
              <w:jc w:val="left"/>
              <w:rPr>
                <w:rFonts w:ascii="宋体" w:hAnsi="宋体"/>
                <w:bCs/>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平原沙荒造林工程：</w:t>
            </w:r>
            <w:r>
              <w:rPr>
                <w:rFonts w:hint="eastAsia" w:ascii="宋体" w:hAnsi="宋体"/>
                <w:bCs/>
                <w:color w:val="000000" w:themeColor="text1"/>
                <w:szCs w:val="21"/>
                <w14:textFill>
                  <w14:solidFill>
                    <w14:schemeClr w14:val="tx1"/>
                  </w14:solidFill>
                </w14:textFill>
              </w:rPr>
              <w:t>在高速公路、国道、省道、县道及主要河流沟渠、水库周围等生态重要区域，完成造林0.3万亩。</w:t>
            </w:r>
          </w:p>
          <w:p>
            <w:pPr>
              <w:ind w:firstLine="422" w:firstLineChars="200"/>
              <w:jc w:val="left"/>
              <w:rPr>
                <w:rFonts w:ascii="宋体" w:hAnsi="宋体"/>
                <w:bCs/>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村镇绿化美化工程：</w:t>
            </w:r>
            <w:r>
              <w:rPr>
                <w:rFonts w:hint="eastAsia" w:ascii="宋体" w:hAnsi="宋体"/>
                <w:bCs/>
                <w:color w:val="000000" w:themeColor="text1"/>
                <w:szCs w:val="21"/>
                <w14:textFill>
                  <w14:solidFill>
                    <w14:schemeClr w14:val="tx1"/>
                  </w14:solidFill>
                </w14:textFill>
              </w:rPr>
              <w:t>完成村镇绿化美化工程0.3万亩。</w:t>
            </w:r>
          </w:p>
          <w:p>
            <w:pPr>
              <w:ind w:firstLine="422" w:firstLineChars="200"/>
              <w:jc w:val="left"/>
              <w:rPr>
                <w:rFonts w:ascii="宋体" w:hAnsi="宋体"/>
                <w:bCs/>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林木种苗花卉基地建设：</w:t>
            </w:r>
            <w:r>
              <w:rPr>
                <w:rFonts w:hint="eastAsia" w:ascii="宋体" w:hAnsi="宋体"/>
                <w:bCs/>
                <w:color w:val="000000" w:themeColor="text1"/>
                <w:szCs w:val="21"/>
                <w14:textFill>
                  <w14:solidFill>
                    <w14:schemeClr w14:val="tx1"/>
                  </w14:solidFill>
                </w14:textFill>
              </w:rPr>
              <w:t>发展花卉和苗木面积1.2万亩。</w:t>
            </w:r>
          </w:p>
          <w:p>
            <w:pPr>
              <w:ind w:firstLine="422" w:firstLineChars="200"/>
              <w:jc w:val="left"/>
              <w:rPr>
                <w:rFonts w:ascii="宋体" w:hAnsi="宋体"/>
                <w:bCs/>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东区污水处理厂尾水湿地项目：</w:t>
            </w:r>
            <w:r>
              <w:rPr>
                <w:rFonts w:hint="eastAsia" w:ascii="宋体" w:hAnsi="宋体"/>
                <w:bCs/>
                <w:color w:val="000000" w:themeColor="text1"/>
                <w:szCs w:val="21"/>
                <w14:textFill>
                  <w14:solidFill>
                    <w14:schemeClr w14:val="tx1"/>
                  </w14:solidFill>
                </w14:textFill>
              </w:rPr>
              <w:t>建设湿地预处理区、人工湿地与稳定塘，处理规模达到2万m</w:t>
            </w:r>
            <w:r>
              <w:rPr>
                <w:rFonts w:hint="eastAsia" w:ascii="宋体" w:hAnsi="宋体"/>
                <w:bCs/>
                <w:color w:val="000000" w:themeColor="text1"/>
                <w:szCs w:val="21"/>
                <w:vertAlign w:val="superscript"/>
                <w14:textFill>
                  <w14:solidFill>
                    <w14:schemeClr w14:val="tx1"/>
                  </w14:solidFill>
                </w14:textFill>
              </w:rPr>
              <w:t>3</w:t>
            </w:r>
            <w:r>
              <w:rPr>
                <w:rFonts w:hint="eastAsia" w:ascii="宋体" w:hAnsi="宋体"/>
                <w:bCs/>
                <w:color w:val="000000" w:themeColor="text1"/>
                <w:szCs w:val="21"/>
                <w14:textFill>
                  <w14:solidFill>
                    <w14:schemeClr w14:val="tx1"/>
                  </w14:solidFill>
                </w14:textFill>
              </w:rPr>
              <w:t>/d 。</w:t>
            </w:r>
          </w:p>
          <w:p>
            <w:pPr>
              <w:ind w:firstLine="422" w:firstLineChars="200"/>
              <w:jc w:val="left"/>
              <w:rPr>
                <w:rFonts w:ascii="宋体" w:hAnsi="宋体"/>
                <w:bCs/>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民权县污水处理厂提标改造项目：</w:t>
            </w:r>
            <w:r>
              <w:rPr>
                <w:rFonts w:hint="eastAsia" w:ascii="宋体" w:hAnsi="宋体"/>
                <w:bCs/>
                <w:color w:val="000000" w:themeColor="text1"/>
                <w:szCs w:val="21"/>
                <w14:textFill>
                  <w14:solidFill>
                    <w14:schemeClr w14:val="tx1"/>
                  </w14:solidFill>
                </w14:textFill>
              </w:rPr>
              <w:t>对城区污水处理进行提标改造，在不降低污水厂处理能力的前提下将出水标准由一级A标准提高到地表水准IV类标准（其中TN≤10mg/L），日处理污水能力5万m</w:t>
            </w:r>
            <w:r>
              <w:rPr>
                <w:rFonts w:hint="eastAsia" w:ascii="宋体" w:hAnsi="宋体"/>
                <w:bCs/>
                <w:color w:val="000000" w:themeColor="text1"/>
                <w:szCs w:val="21"/>
                <w:vertAlign w:val="superscript"/>
                <w14:textFill>
                  <w14:solidFill>
                    <w14:schemeClr w14:val="tx1"/>
                  </w14:solidFill>
                </w14:textFill>
              </w:rPr>
              <w:t>3</w:t>
            </w:r>
            <w:r>
              <w:rPr>
                <w:rFonts w:hint="eastAsia" w:ascii="宋体" w:hAnsi="宋体"/>
                <w:bCs/>
                <w:color w:val="000000" w:themeColor="text1"/>
                <w:szCs w:val="21"/>
                <w14:textFill>
                  <w14:solidFill>
                    <w14:schemeClr w14:val="tx1"/>
                  </w14:solidFill>
                </w14:textFill>
              </w:rPr>
              <w:t>。</w:t>
            </w:r>
          </w:p>
          <w:p>
            <w:pPr>
              <w:ind w:firstLine="422" w:firstLineChars="200"/>
              <w:jc w:val="left"/>
              <w:rPr>
                <w:rFonts w:ascii="宋体" w:hAnsi="宋体"/>
                <w:bCs/>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乡镇污水处理设施改扩建项目：</w:t>
            </w:r>
            <w:r>
              <w:rPr>
                <w:rFonts w:hint="eastAsia" w:ascii="宋体" w:hAnsi="宋体"/>
                <w:bCs/>
                <w:color w:val="000000" w:themeColor="text1"/>
                <w:szCs w:val="21"/>
                <w14:textFill>
                  <w14:solidFill>
                    <w14:schemeClr w14:val="tx1"/>
                  </w14:solidFill>
                </w14:textFill>
              </w:rPr>
              <w:t>完善民权县农村污水处理系统，改扩建农村生活污水处理设施20处。</w:t>
            </w:r>
          </w:p>
          <w:p>
            <w:pPr>
              <w:ind w:firstLine="422" w:firstLineChars="200"/>
              <w:jc w:val="left"/>
              <w:rPr>
                <w:rFonts w:ascii="宋体" w:hAnsi="宋体"/>
                <w:bCs/>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民权县生活垃圾焚烧发电项目：</w:t>
            </w:r>
            <w:r>
              <w:rPr>
                <w:rFonts w:hint="eastAsia" w:ascii="宋体" w:hAnsi="宋体"/>
                <w:bCs/>
                <w:color w:val="000000" w:themeColor="text1"/>
                <w:szCs w:val="21"/>
                <w14:textFill>
                  <w14:solidFill>
                    <w14:schemeClr w14:val="tx1"/>
                  </w14:solidFill>
                </w14:textFill>
              </w:rPr>
              <w:t>位于民权县310国道与西环路交叉口西侧，项目完成后日处理城市生活垃圾600吨，年处理生活垃圾21.9万吨。</w:t>
            </w:r>
          </w:p>
          <w:p>
            <w:pPr>
              <w:ind w:firstLine="422" w:firstLineChars="200"/>
              <w:jc w:val="left"/>
              <w:rPr>
                <w:rFonts w:ascii="宋体" w:hAnsi="宋体"/>
                <w:bCs/>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生活垃圾填埋封场修复工程：</w:t>
            </w:r>
            <w:r>
              <w:rPr>
                <w:rFonts w:hint="eastAsia" w:ascii="宋体" w:hAnsi="宋体"/>
                <w:bCs/>
                <w:color w:val="000000" w:themeColor="text1"/>
                <w:szCs w:val="21"/>
                <w14:textFill>
                  <w14:solidFill>
                    <w14:schemeClr w14:val="tx1"/>
                  </w14:solidFill>
                </w14:textFill>
              </w:rPr>
              <w:t>项目位于民权县城东南、工业大道南侧、东沙河东侧，消除垃圾填埋场生活垃圾对环境的污染。</w:t>
            </w:r>
          </w:p>
          <w:p>
            <w:pPr>
              <w:ind w:firstLine="422" w:firstLineChars="200"/>
              <w:jc w:val="left"/>
              <w:rPr>
                <w:rFonts w:ascii="宋体" w:hAnsi="宋体"/>
                <w:bCs/>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餐厨垃圾资源化利用与无害化处理项目：</w:t>
            </w:r>
            <w:r>
              <w:rPr>
                <w:rFonts w:hint="eastAsia" w:ascii="宋体" w:hAnsi="宋体"/>
                <w:bCs/>
                <w:color w:val="000000" w:themeColor="text1"/>
                <w:szCs w:val="21"/>
                <w14:textFill>
                  <w14:solidFill>
                    <w14:schemeClr w14:val="tx1"/>
                  </w14:solidFill>
                </w14:textFill>
              </w:rPr>
              <w:t>日处理餐厨垃圾50吨，年处理餐厨垃圾 1.1万吨。</w:t>
            </w:r>
          </w:p>
        </w:tc>
      </w:tr>
    </w:tbl>
    <w:p>
      <w:pPr>
        <w:widowControl/>
        <w:jc w:val="left"/>
        <w:rPr>
          <w:color w:val="000000" w:themeColor="text1"/>
          <w14:textFill>
            <w14:solidFill>
              <w14:schemeClr w14:val="tx1"/>
            </w14:solidFill>
          </w14:textFill>
        </w:rPr>
      </w:pPr>
      <w:r>
        <w:rPr>
          <w:rFonts w:ascii="Times New Roman" w:hAnsi="Times New Roman" w:eastAsia="黑体"/>
          <w:color w:val="000000" w:themeColor="text1"/>
          <w:sz w:val="32"/>
          <w14:textFill>
            <w14:solidFill>
              <w14:schemeClr w14:val="tx1"/>
            </w14:solidFill>
          </w14:textFill>
        </w:rPr>
        <w:br w:type="page"/>
      </w:r>
    </w:p>
    <w:p>
      <w:pPr>
        <w:pStyle w:val="2"/>
        <w:adjustRightInd w:val="0"/>
        <w:snapToGrid w:val="0"/>
        <w:spacing w:before="156" w:beforeLines="50" w:after="156" w:afterLines="50" w:line="240" w:lineRule="auto"/>
        <w:jc w:val="center"/>
        <w:rPr>
          <w:rFonts w:ascii="Times New Roman" w:hAnsi="Times New Roman" w:eastAsia="黑体"/>
          <w:b w:val="0"/>
          <w:color w:val="000000" w:themeColor="text1"/>
          <w:sz w:val="32"/>
          <w14:textFill>
            <w14:solidFill>
              <w14:schemeClr w14:val="tx1"/>
            </w14:solidFill>
          </w14:textFill>
        </w:rPr>
      </w:pPr>
      <w:bookmarkStart w:id="82" w:name="_Toc71192383"/>
      <w:bookmarkStart w:id="83" w:name="_Toc65849391"/>
      <w:r>
        <w:rPr>
          <w:rFonts w:hint="eastAsia" w:ascii="Times New Roman" w:hAnsi="Times New Roman" w:eastAsia="黑体"/>
          <w:b w:val="0"/>
          <w:color w:val="000000" w:themeColor="text1"/>
          <w:sz w:val="32"/>
          <w14:textFill>
            <w14:solidFill>
              <w14:schemeClr w14:val="tx1"/>
            </w14:solidFill>
          </w14:textFill>
        </w:rPr>
        <w:t>第六章 提升基础支撑，建设高能级交通物流枢纽城</w:t>
      </w:r>
      <w:bookmarkEnd w:id="82"/>
    </w:p>
    <w:p>
      <w:pPr>
        <w:ind w:firstLine="640" w:firstLineChars="200"/>
        <w:rPr>
          <w:rFonts w:ascii="仿宋_GB2312" w:hAnsi="仿宋" w:eastAsia="仿宋_GB2312"/>
          <w:color w:val="000000" w:themeColor="text1"/>
          <w:sz w:val="32"/>
          <w:szCs w:val="32"/>
          <w14:textFill>
            <w14:solidFill>
              <w14:schemeClr w14:val="tx1"/>
            </w14:solidFill>
          </w14:textFill>
        </w:rPr>
      </w:pPr>
      <w:bookmarkStart w:id="84" w:name="_Toc50299591"/>
      <w:r>
        <w:rPr>
          <w:rFonts w:hint="eastAsia" w:ascii="仿宋_GB2312" w:hAnsi="仿宋" w:eastAsia="仿宋_GB2312"/>
          <w:color w:val="000000" w:themeColor="text1"/>
          <w:sz w:val="32"/>
          <w:szCs w:val="32"/>
          <w14:textFill>
            <w14:solidFill>
              <w14:schemeClr w14:val="tx1"/>
            </w14:solidFill>
          </w14:textFill>
        </w:rPr>
        <w:t>坚持适度超前、整体优化、协同融合的发展思路，构建布局合理、功能完善、智能绿色、安全可靠的现代化综合交通体系、低碳高效的能源保障体系、兴利除害的水安全保障体系和引领未来的信息基础设施体系，</w:t>
      </w:r>
      <w:r>
        <w:rPr>
          <w:rFonts w:hint="eastAsia" w:ascii="仿宋_GB2312" w:hAnsi="仿宋" w:eastAsia="仿宋_GB2312" w:cs="仿宋"/>
          <w:color w:val="000000" w:themeColor="text1"/>
          <w:sz w:val="32"/>
          <w:szCs w:val="32"/>
          <w14:textFill>
            <w14:solidFill>
              <w14:schemeClr w14:val="tx1"/>
            </w14:solidFill>
          </w14:textFill>
        </w:rPr>
        <w:t>全力打造高能级交通物流枢纽城</w:t>
      </w:r>
      <w:r>
        <w:rPr>
          <w:rFonts w:hint="eastAsia" w:ascii="仿宋_GB2312" w:hAnsi="仿宋" w:eastAsia="仿宋_GB2312"/>
          <w:color w:val="000000" w:themeColor="text1"/>
          <w:sz w:val="32"/>
          <w:szCs w:val="32"/>
          <w14:textFill>
            <w14:solidFill>
              <w14:schemeClr w14:val="tx1"/>
            </w14:solidFill>
          </w14:textFill>
        </w:rPr>
        <w:t>。</w:t>
      </w:r>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85" w:name="_Toc62400264"/>
      <w:bookmarkStart w:id="86" w:name="_Toc71192384"/>
      <w:r>
        <w:rPr>
          <w:rFonts w:hint="eastAsia" w:ascii="Times New Roman" w:hAnsi="Times New Roman" w:eastAsia="楷体"/>
          <w:bCs w:val="0"/>
          <w:color w:val="000000" w:themeColor="text1"/>
          <w:szCs w:val="20"/>
          <w14:textFill>
            <w14:solidFill>
              <w14:schemeClr w14:val="tx1"/>
            </w14:solidFill>
          </w14:textFill>
        </w:rPr>
        <w:t>第一节</w:t>
      </w:r>
      <w:bookmarkEnd w:id="84"/>
      <w:bookmarkEnd w:id="85"/>
      <w:r>
        <w:rPr>
          <w:rFonts w:hint="eastAsia" w:ascii="Times New Roman" w:hAnsi="Times New Roman" w:eastAsia="楷体"/>
          <w:bCs w:val="0"/>
          <w:color w:val="000000" w:themeColor="text1"/>
          <w:szCs w:val="20"/>
          <w14:textFill>
            <w14:solidFill>
              <w14:schemeClr w14:val="tx1"/>
            </w14:solidFill>
          </w14:textFill>
        </w:rPr>
        <w:t xml:space="preserve"> 便捷通畅的综合交通体系</w:t>
      </w:r>
      <w:bookmarkEnd w:id="86"/>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坚持互联互通、覆盖面广、协同高效的发展方向，打造集铁路、公路、航空于一体的现代化综合交通枢纽，全面打通出县道路，提升区域性交通枢纽地位。</w:t>
      </w:r>
    </w:p>
    <w:p>
      <w:pPr>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完善综合交通网络。</w:t>
      </w:r>
      <w:r>
        <w:rPr>
          <w:rFonts w:hint="eastAsia" w:ascii="仿宋_GB2312" w:hAnsi="仿宋" w:eastAsia="仿宋_GB2312"/>
          <w:color w:val="000000" w:themeColor="text1"/>
          <w:sz w:val="32"/>
          <w:szCs w:val="32"/>
          <w14:textFill>
            <w14:solidFill>
              <w14:schemeClr w14:val="tx1"/>
            </w14:solidFill>
          </w14:textFill>
        </w:rPr>
        <w:t>加快高速公路建设，确保阳新高速民权段、沿黄高速民权段、兰项高速民权段、民砀高速建成通车，增设高速出入口，加强高速公路出入口连接线公路升级改造，构建四面环城的高速公路网。持续完善干线公路网络，加快低等级普通干线公路升级改造，推进国道310民权县绕城段公路、省道314、省道317、省道216、省道214（机场大道）等建设工程，构建高效连通的公路网络。加快推进民权通用机场建成运营。</w:t>
      </w:r>
      <w:r>
        <w:rPr>
          <w:rFonts w:ascii="仿宋_GB2312" w:hAnsi="仿宋" w:eastAsia="仿宋_GB2312"/>
          <w:color w:val="000000" w:themeColor="text1"/>
          <w:sz w:val="32"/>
          <w:szCs w:val="32"/>
          <w14:textFill>
            <w14:solidFill>
              <w14:schemeClr w14:val="tx1"/>
            </w14:solidFill>
          </w14:textFill>
        </w:rPr>
        <w:t>优化</w:t>
      </w:r>
      <w:r>
        <w:rPr>
          <w:rFonts w:hint="eastAsia" w:ascii="仿宋_GB2312" w:hAnsi="仿宋" w:eastAsia="仿宋_GB2312"/>
          <w:color w:val="000000" w:themeColor="text1"/>
          <w:sz w:val="32"/>
          <w:szCs w:val="32"/>
          <w14:textFill>
            <w14:solidFill>
              <w14:schemeClr w14:val="tx1"/>
            </w14:solidFill>
          </w14:textFill>
        </w:rPr>
        <w:t>城乡交通，积极融入商丘“三环九放射”格局，推进县乡公路升级改造，改建县乡公路270公里，大力提升通乡镇公路通行能力。全面打通县域之间、城乡结合部、乡镇之间、行政村之间断头路，修复毁损路面。有序推进中心行政村道路提档提质和通自然村硬化路建设。切实落实农村公路县乡村三级管护机制，提升公路养护水平，积极创建文明示范路。争创“四好农村路”示范县。</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rPr>
                <w:rFonts w:ascii="黑体" w:hAnsi="黑体" w:eastAsia="黑体"/>
                <w:color w:val="000000" w:themeColor="text1"/>
                <w:kern w:val="0"/>
                <w:sz w:val="24"/>
                <w:szCs w:val="24"/>
                <w14:textFill>
                  <w14:solidFill>
                    <w14:schemeClr w14:val="tx1"/>
                  </w14:solidFill>
                </w14:textFill>
              </w:rPr>
            </w:pPr>
            <w:r>
              <w:rPr>
                <w:rFonts w:ascii="黑体" w:hAnsi="黑体" w:eastAsia="黑体"/>
                <w:color w:val="000000" w:themeColor="text1"/>
                <w:kern w:val="0"/>
                <w:sz w:val="24"/>
                <w:szCs w:val="24"/>
                <w14:textFill>
                  <w14:solidFill>
                    <w14:schemeClr w14:val="tx1"/>
                  </w14:solidFill>
                </w14:textFill>
              </w:rPr>
              <w:t>专栏</w:t>
            </w:r>
            <w:r>
              <w:rPr>
                <w:rFonts w:hint="eastAsia" w:ascii="黑体" w:hAnsi="黑体" w:eastAsia="黑体"/>
                <w:color w:val="000000" w:themeColor="text1"/>
                <w:kern w:val="0"/>
                <w:sz w:val="24"/>
                <w:szCs w:val="24"/>
                <w14:textFill>
                  <w14:solidFill>
                    <w14:schemeClr w14:val="tx1"/>
                  </w14:solidFill>
                </w14:textFill>
              </w:rPr>
              <w:t>6-1：交通基础设施</w:t>
            </w:r>
            <w:r>
              <w:rPr>
                <w:rFonts w:ascii="黑体" w:hAnsi="黑体" w:eastAsia="黑体"/>
                <w:color w:val="000000" w:themeColor="text1"/>
                <w:kern w:val="0"/>
                <w:sz w:val="24"/>
                <w:szCs w:val="24"/>
                <w14:textFill>
                  <w14:solidFill>
                    <w14:schemeClr w14:val="tx1"/>
                  </w14:solidFill>
                </w14:textFill>
              </w:rPr>
              <w:t>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ind w:firstLine="422" w:firstLineChars="200"/>
              <w:rPr>
                <w:rFonts w:ascii="宋体" w:hAnsi="宋体"/>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国道改造工程：</w:t>
            </w:r>
            <w:r>
              <w:rPr>
                <w:rFonts w:hint="eastAsia" w:ascii="宋体" w:hAnsi="宋体"/>
                <w:color w:val="000000" w:themeColor="text1"/>
                <w:kern w:val="0"/>
                <w:szCs w:val="21"/>
                <w14:textFill>
                  <w14:solidFill>
                    <w14:schemeClr w14:val="tx1"/>
                  </w14:solidFill>
                </w14:textFill>
              </w:rPr>
              <w:t>国道310民权绕城段公路改建工程（三环九放射民权段），国道220线与S314线交叉至国道310段大修工程。南环路（宁民交界-民权罗庄段</w:t>
            </w:r>
            <w:r>
              <w:rPr>
                <w:rFonts w:ascii="宋体" w:hAnsi="宋体"/>
                <w:color w:val="000000" w:themeColor="text1"/>
                <w:kern w:val="0"/>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修护工程。</w:t>
            </w:r>
          </w:p>
          <w:p>
            <w:pPr>
              <w:ind w:firstLine="422" w:firstLineChars="200"/>
              <w:rPr>
                <w:rFonts w:ascii="宋体" w:hAnsi="宋体"/>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省道改造工程：</w:t>
            </w:r>
            <w:r>
              <w:rPr>
                <w:rFonts w:hint="eastAsia" w:ascii="宋体" w:hAnsi="宋体"/>
                <w:color w:val="000000" w:themeColor="text1"/>
                <w:kern w:val="0"/>
                <w:szCs w:val="21"/>
                <w14:textFill>
                  <w14:solidFill>
                    <w14:schemeClr w14:val="tx1"/>
                  </w14:solidFill>
                </w14:textFill>
              </w:rPr>
              <w:t>省道214线民兰交界至民权县城段改建工程，省道314线前庙至南张庄段改建工程，省道317宁民交界至商开交界段改建工程，省道216民兰交界至民睢交界改建工程，省道509豫鲁交界至国道220段改建工程，省道314线小马庄至任庄段改建工程（升级为民权至孙六快速通道一级公路）。</w:t>
            </w:r>
          </w:p>
          <w:p>
            <w:pPr>
              <w:ind w:firstLine="422" w:firstLineChars="200"/>
              <w:rPr>
                <w:rFonts w:ascii="宋体" w:hAnsi="宋体"/>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县乡道改造工程：</w:t>
            </w:r>
            <w:r>
              <w:rPr>
                <w:rFonts w:hint="eastAsia" w:ascii="宋体" w:hAnsi="宋体"/>
                <w:color w:val="000000" w:themeColor="text1"/>
                <w:kern w:val="0"/>
                <w:szCs w:val="21"/>
                <w14:textFill>
                  <w14:solidFill>
                    <w14:schemeClr w14:val="tx1"/>
                  </w14:solidFill>
                </w14:textFill>
              </w:rPr>
              <w:t>县道X001、县道X002、县道X005、县道X007、县道X009、县道X066、县道X062、县道X076、县道X080、县道X088、县道X092、县道X104等改造工程。</w:t>
            </w:r>
          </w:p>
          <w:p>
            <w:pPr>
              <w:ind w:firstLine="422" w:firstLineChars="200"/>
              <w:rPr>
                <w:rFonts w:ascii="仿宋" w:hAnsi="仿宋" w:eastAsia="仿宋"/>
                <w:b/>
                <w:color w:val="000000" w:themeColor="text1"/>
                <w:kern w:val="0"/>
                <w:sz w:val="24"/>
                <w:szCs w:val="24"/>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公路桥梁工程：</w:t>
            </w:r>
            <w:r>
              <w:rPr>
                <w:rFonts w:hint="eastAsia" w:ascii="宋体" w:hAnsi="宋体"/>
                <w:color w:val="000000" w:themeColor="text1"/>
                <w:kern w:val="0"/>
                <w:szCs w:val="21"/>
                <w14:textFill>
                  <w14:solidFill>
                    <w14:schemeClr w14:val="tx1"/>
                  </w14:solidFill>
                </w14:textFill>
              </w:rPr>
              <w:t>国道220林七特大桥建设工程等。</w:t>
            </w:r>
          </w:p>
        </w:tc>
      </w:tr>
    </w:tbl>
    <w:p>
      <w:pPr>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打造客货交通枢纽。</w:t>
      </w:r>
      <w:r>
        <w:rPr>
          <w:rFonts w:hint="eastAsia" w:ascii="仿宋_GB2312" w:hAnsi="仿宋" w:eastAsia="仿宋_GB2312"/>
          <w:color w:val="000000" w:themeColor="text1"/>
          <w:sz w:val="32"/>
          <w:szCs w:val="32"/>
          <w14:textFill>
            <w14:solidFill>
              <w14:schemeClr w14:val="tx1"/>
            </w14:solidFill>
          </w14:textFill>
        </w:rPr>
        <w:t>推进郑徐高铁民权综合枢纽站一级客运站建设，配套建设汽车站、公交枢纽站、出租车换乘站等，实现高铁、公路客运、城市公交和出租车等多种运输方式高效衔接，零距离换乘。积极谋划推进陇海铁路老客运站及站前广场更新改造。加快乡镇交通综合服务平台建设，推进城乡公共交通一体化进程，逐步增加村村通公交线路，建设候车站点。推进物流园区建设，加快民权跨境电商、多式联运保税物流园区建设。建设城东、城西货运场站服务中心，完善城乡物流体系。</w:t>
      </w:r>
    </w:p>
    <w:p>
      <w:pPr>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积极发展枢纽经济。</w:t>
      </w:r>
      <w:r>
        <w:rPr>
          <w:rFonts w:hint="eastAsia" w:ascii="仿宋_GB2312" w:hAnsi="仿宋" w:eastAsia="仿宋_GB2312"/>
          <w:color w:val="000000" w:themeColor="text1"/>
          <w:sz w:val="32"/>
          <w:szCs w:val="32"/>
          <w14:textFill>
            <w14:solidFill>
              <w14:schemeClr w14:val="tx1"/>
            </w14:solidFill>
          </w14:textFill>
        </w:rPr>
        <w:t>依托高铁、普铁、航空、高速、国道，做大做强物流和电子商务两大枢纽经济先导产业，完善商贸物流服务体系，配套建设物流基础设施，大力发展冷链物流、快递物流、电商物流。推进跨境电商企业入驻保税物流中心，吸引快递物流企业入驻通航产业园，支持建设快递分拨中心和企业总部。以主城区为中心推进分拨中心、末端配送基础设施建设，辐射乡镇和街道办事处，提升城乡配送服务水平，推进城乡一体化配送，提高末端配送效率，降低“最后一公里”物流成本。</w:t>
      </w:r>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87" w:name="_Toc50299593"/>
      <w:bookmarkStart w:id="88" w:name="_Toc71192385"/>
      <w:bookmarkStart w:id="89" w:name="_Toc62400266"/>
      <w:r>
        <w:rPr>
          <w:rFonts w:hint="eastAsia" w:ascii="Times New Roman" w:hAnsi="Times New Roman" w:eastAsia="楷体"/>
          <w:bCs w:val="0"/>
          <w:color w:val="000000" w:themeColor="text1"/>
          <w:szCs w:val="20"/>
          <w14:textFill>
            <w14:solidFill>
              <w14:schemeClr w14:val="tx1"/>
            </w14:solidFill>
          </w14:textFill>
        </w:rPr>
        <w:t>第二节</w:t>
      </w:r>
      <w:bookmarkEnd w:id="87"/>
      <w:r>
        <w:rPr>
          <w:rFonts w:hint="eastAsia" w:ascii="Times New Roman" w:hAnsi="Times New Roman" w:eastAsia="楷体"/>
          <w:bCs w:val="0"/>
          <w:color w:val="000000" w:themeColor="text1"/>
          <w:szCs w:val="20"/>
          <w14:textFill>
            <w14:solidFill>
              <w14:schemeClr w14:val="tx1"/>
            </w14:solidFill>
          </w14:textFill>
        </w:rPr>
        <w:t xml:space="preserve"> 低碳高效的能源保障体系</w:t>
      </w:r>
      <w:bookmarkEnd w:id="88"/>
      <w:bookmarkEnd w:id="89"/>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推动能源供给结构优化，广泛普及天然气，推进集中供热设施建设，建立安全可靠的能源保障体系，全面建立多能互补，城乡一体的能源消费方式。</w:t>
      </w:r>
    </w:p>
    <w:p>
      <w:pPr>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优化能源供给结构</w:t>
      </w:r>
      <w:r>
        <w:rPr>
          <w:rFonts w:hint="eastAsia" w:ascii="仿宋_GB2312" w:hAnsi="仿宋" w:eastAsia="仿宋_GB2312"/>
          <w:color w:val="000000" w:themeColor="text1"/>
          <w:sz w:val="32"/>
          <w:szCs w:val="32"/>
          <w14:textFill>
            <w14:solidFill>
              <w14:schemeClr w14:val="tx1"/>
            </w14:solidFill>
          </w14:textFill>
        </w:rPr>
        <w:t>。提档升级</w:t>
      </w:r>
      <w:r>
        <w:rPr>
          <w:rFonts w:ascii="仿宋_GB2312" w:hAnsi="仿宋" w:eastAsia="仿宋_GB2312"/>
          <w:color w:val="000000" w:themeColor="text1"/>
          <w:sz w:val="32"/>
          <w:szCs w:val="32"/>
          <w14:textFill>
            <w14:solidFill>
              <w14:schemeClr w14:val="tx1"/>
            </w14:solidFill>
          </w14:textFill>
        </w:rPr>
        <w:t>电力</w:t>
      </w:r>
      <w:r>
        <w:rPr>
          <w:rFonts w:hint="eastAsia" w:ascii="仿宋_GB2312" w:hAnsi="仿宋" w:eastAsia="仿宋_GB2312"/>
          <w:color w:val="000000" w:themeColor="text1"/>
          <w:sz w:val="32"/>
          <w:szCs w:val="32"/>
          <w14:textFill>
            <w14:solidFill>
              <w14:schemeClr w14:val="tx1"/>
            </w14:solidFill>
          </w14:textFill>
        </w:rPr>
        <w:t>网络，重点提高农村电网供电保障能力，提前预留变电站站址和线路走廊用地，</w:t>
      </w:r>
      <w:r>
        <w:rPr>
          <w:rFonts w:hint="eastAsia" w:ascii="仿宋_GB2312" w:hAnsi="仿宋" w:eastAsia="仿宋_GB2312" w:cs="仿宋"/>
          <w:color w:val="000000" w:themeColor="text1"/>
          <w:sz w:val="32"/>
          <w:szCs w:val="32"/>
          <w14:textFill>
            <w14:solidFill>
              <w14:schemeClr w14:val="tx1"/>
            </w14:solidFill>
          </w14:textFill>
        </w:rPr>
        <w:t>优化电网主网架和城乡配电网络，</w:t>
      </w:r>
      <w:r>
        <w:rPr>
          <w:rFonts w:hint="eastAsia" w:ascii="仿宋_GB2312" w:hAnsi="仿宋" w:eastAsia="仿宋_GB2312"/>
          <w:color w:val="000000" w:themeColor="text1"/>
          <w:sz w:val="32"/>
          <w:szCs w:val="32"/>
          <w14:textFill>
            <w14:solidFill>
              <w14:schemeClr w14:val="tx1"/>
            </w14:solidFill>
          </w14:textFill>
        </w:rPr>
        <w:t>加强电网信息化智能化管理，</w:t>
      </w:r>
      <w:r>
        <w:rPr>
          <w:rFonts w:hint="eastAsia" w:ascii="仿宋_GB2312" w:hAnsi="仿宋" w:eastAsia="仿宋_GB2312" w:cs="仿宋"/>
          <w:color w:val="000000" w:themeColor="text1"/>
          <w:sz w:val="32"/>
          <w:szCs w:val="32"/>
          <w14:textFill>
            <w14:solidFill>
              <w14:schemeClr w14:val="tx1"/>
            </w14:solidFill>
          </w14:textFill>
        </w:rPr>
        <w:t>建设智慧能源系统，</w:t>
      </w:r>
      <w:r>
        <w:rPr>
          <w:rFonts w:hint="eastAsia" w:ascii="仿宋_GB2312" w:hAnsi="仿宋" w:eastAsia="仿宋_GB2312"/>
          <w:color w:val="000000" w:themeColor="text1"/>
          <w:sz w:val="32"/>
          <w:szCs w:val="32"/>
          <w14:textFill>
            <w14:solidFill>
              <w14:schemeClr w14:val="tx1"/>
            </w14:solidFill>
          </w14:textFill>
        </w:rPr>
        <w:t>建设安全高效的智能化输配电网络。积极发展风电、光伏发电，加快推进生物质能开发和综合利用，推动煤电清洁高效发展，有序开拓燃气市场。加快充电桩及配套设施建设，构建电动汽车智能充电服务网络。</w:t>
      </w:r>
    </w:p>
    <w:p>
      <w:pPr>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广泛</w:t>
      </w:r>
      <w:r>
        <w:rPr>
          <w:rFonts w:ascii="仿宋_GB2312" w:hAnsi="仿宋" w:eastAsia="仿宋_GB2312"/>
          <w:b/>
          <w:color w:val="000000" w:themeColor="text1"/>
          <w:sz w:val="32"/>
          <w:szCs w:val="32"/>
          <w14:textFill>
            <w14:solidFill>
              <w14:schemeClr w14:val="tx1"/>
            </w14:solidFill>
          </w14:textFill>
        </w:rPr>
        <w:t>普及燃气</w:t>
      </w:r>
      <w:r>
        <w:rPr>
          <w:rFonts w:hint="eastAsia" w:ascii="仿宋_GB2312" w:hAnsi="仿宋" w:eastAsia="仿宋_GB2312"/>
          <w:b/>
          <w:color w:val="000000" w:themeColor="text1"/>
          <w:sz w:val="32"/>
          <w:szCs w:val="32"/>
          <w14:textFill>
            <w14:solidFill>
              <w14:schemeClr w14:val="tx1"/>
            </w14:solidFill>
          </w14:textFill>
        </w:rPr>
        <w:t>利用。</w:t>
      </w:r>
      <w:r>
        <w:rPr>
          <w:rFonts w:hint="eastAsia" w:ascii="仿宋_GB2312" w:hAnsi="仿宋" w:eastAsia="仿宋_GB2312"/>
          <w:color w:val="000000" w:themeColor="text1"/>
          <w:sz w:val="32"/>
          <w:szCs w:val="32"/>
          <w14:textFill>
            <w14:solidFill>
              <w14:schemeClr w14:val="tx1"/>
            </w14:solidFill>
          </w14:textFill>
        </w:rPr>
        <w:t>加快天然气管网设施建设步伐，建设民权至睢县中压燃气管线，开展中心城区然气管网提质工程，建设新北环路、向阳路、江山大道、庄周大道、通航机场专用线等燃气中压管网100公里，到2025年，中心城区天然气用户达6万户。开展“村村通”天然气建设，推进全县乡镇天然气中压管网及配套设施建设，推进燃气管网向农村延伸，对农村天然气安装给予适当补贴，到2025年，全县乡镇村天然气安装用户达18万户。全面推进已建燃气管网通气，加强燃气使用安全管理和燃气管网维护，建立健全乡镇村天然气安全管理体系，提高燃气运营管理和技术服务水平，降低燃气事故和管网损害风险。</w:t>
      </w:r>
    </w:p>
    <w:p>
      <w:pPr>
        <w:ind w:firstLine="643" w:firstLineChars="200"/>
        <w:rPr>
          <w:rFonts w:ascii="仿宋_GB2312" w:hAnsi="仿宋" w:eastAsia="仿宋_GB2312"/>
          <w:b/>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建设集中供热设施。</w:t>
      </w:r>
      <w:r>
        <w:rPr>
          <w:rFonts w:hint="eastAsia" w:ascii="仿宋_GB2312" w:hAnsi="仿宋" w:eastAsia="仿宋_GB2312"/>
          <w:color w:val="000000" w:themeColor="text1"/>
          <w:sz w:val="32"/>
          <w:szCs w:val="32"/>
          <w14:textFill>
            <w14:solidFill>
              <w14:schemeClr w14:val="tx1"/>
            </w14:solidFill>
          </w14:textFill>
        </w:rPr>
        <w:t>强化供热管网和供热设施建设，持续提升中心城区集中供热覆盖面积，提高供热保证率，“十四五”期间敷设热力管网40公里，建成热力交换站17座，到2025年入网总面积达400万平方米，实际供热面积达250万平方米，供热覆盖率达70%以上。积极推进高新区集中供热，加大道南管网建设，提高道南集中供热面积，形成布局合理、覆盖广泛、安全高效的集中供热网络。</w:t>
      </w:r>
    </w:p>
    <w:p>
      <w:pPr>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优化能源消费结构。</w:t>
      </w:r>
      <w:r>
        <w:rPr>
          <w:rFonts w:hint="eastAsia" w:ascii="仿宋_GB2312" w:hAnsi="仿宋" w:eastAsia="仿宋_GB2312"/>
          <w:color w:val="000000" w:themeColor="text1"/>
          <w:sz w:val="32"/>
          <w:szCs w:val="32"/>
          <w14:textFill>
            <w14:solidFill>
              <w14:schemeClr w14:val="tx1"/>
            </w14:solidFill>
          </w14:textFill>
        </w:rPr>
        <w:t>优化能源消费结构，加快建设加气站、充电站、充电桩、换电站等新型基础设施，加快推广应用新能源汽车，推进城区公共交通、保洁车辆、配送车辆普及新能源汽车。有序拓宽光伏、农村沼气、生物质能源在生产生活中的应用领域，合理发展垃圾发电。</w:t>
      </w:r>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90" w:name="_Toc50299594"/>
      <w:bookmarkStart w:id="91" w:name="_Toc62400267"/>
      <w:bookmarkStart w:id="92" w:name="_Toc71192386"/>
      <w:r>
        <w:rPr>
          <w:rFonts w:hint="eastAsia" w:ascii="Times New Roman" w:hAnsi="Times New Roman" w:eastAsia="楷体"/>
          <w:bCs w:val="0"/>
          <w:color w:val="000000" w:themeColor="text1"/>
          <w:szCs w:val="20"/>
          <w14:textFill>
            <w14:solidFill>
              <w14:schemeClr w14:val="tx1"/>
            </w14:solidFill>
          </w14:textFill>
        </w:rPr>
        <w:t>第三节</w:t>
      </w:r>
      <w:bookmarkEnd w:id="90"/>
      <w:r>
        <w:rPr>
          <w:rFonts w:hint="eastAsia" w:ascii="Times New Roman" w:hAnsi="Times New Roman" w:eastAsia="楷体"/>
          <w:bCs w:val="0"/>
          <w:color w:val="000000" w:themeColor="text1"/>
          <w:szCs w:val="20"/>
          <w14:textFill>
            <w14:solidFill>
              <w14:schemeClr w14:val="tx1"/>
            </w14:solidFill>
          </w14:textFill>
        </w:rPr>
        <w:t xml:space="preserve"> 兴利除害的</w:t>
      </w:r>
      <w:bookmarkEnd w:id="91"/>
      <w:r>
        <w:rPr>
          <w:rFonts w:hint="eastAsia" w:ascii="Times New Roman" w:hAnsi="Times New Roman" w:eastAsia="楷体"/>
          <w:bCs w:val="0"/>
          <w:color w:val="000000" w:themeColor="text1"/>
          <w:szCs w:val="20"/>
          <w14:textFill>
            <w14:solidFill>
              <w14:schemeClr w14:val="tx1"/>
            </w14:solidFill>
          </w14:textFill>
        </w:rPr>
        <w:t>水安全保障体系</w:t>
      </w:r>
      <w:bookmarkEnd w:id="92"/>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坚持节水优先，空间均衡，坚持“四水同治”，提高水资源配置能力，提升水灾害防治能力，构建兴利除害的水安全保障体系。</w:t>
      </w:r>
    </w:p>
    <w:p>
      <w:pPr>
        <w:ind w:firstLine="643" w:firstLineChars="200"/>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b/>
          <w:color w:val="000000" w:themeColor="text1"/>
          <w:sz w:val="32"/>
          <w:szCs w:val="32"/>
          <w14:textFill>
            <w14:solidFill>
              <w14:schemeClr w14:val="tx1"/>
            </w14:solidFill>
          </w14:textFill>
        </w:rPr>
        <w:t>提高水资源</w:t>
      </w:r>
      <w:r>
        <w:rPr>
          <w:rFonts w:hint="eastAsia" w:ascii="仿宋_GB2312" w:hAnsi="仿宋" w:eastAsia="仿宋_GB2312"/>
          <w:b/>
          <w:color w:val="000000" w:themeColor="text1"/>
          <w:sz w:val="32"/>
          <w:szCs w:val="32"/>
          <w14:textFill>
            <w14:solidFill>
              <w14:schemeClr w14:val="tx1"/>
            </w14:solidFill>
          </w14:textFill>
        </w:rPr>
        <w:t>配置</w:t>
      </w:r>
      <w:r>
        <w:rPr>
          <w:rFonts w:ascii="仿宋_GB2312" w:hAnsi="仿宋" w:eastAsia="仿宋_GB2312"/>
          <w:b/>
          <w:color w:val="000000" w:themeColor="text1"/>
          <w:sz w:val="32"/>
          <w:szCs w:val="32"/>
          <w14:textFill>
            <w14:solidFill>
              <w14:schemeClr w14:val="tx1"/>
            </w14:solidFill>
          </w14:textFill>
        </w:rPr>
        <w:t>能力</w:t>
      </w:r>
      <w:r>
        <w:rPr>
          <w:rFonts w:hint="eastAsia" w:ascii="仿宋_GB2312" w:hAnsi="仿宋" w:eastAsia="仿宋_GB2312"/>
          <w:b/>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科学优化配置生产、生态、生活用水，节约保护合理利用水资源。建立完善重点监控用水单位管理体系，将年用水量50万立方米以上的工业企业、服务业企业和公共机构纳入名单，建立监管台账，强化节水管理，强化工业用水循环利用。实施农村饮水安全巩固提升工程，推进3处地表水源工程建设，加快农村老旧供水管网改造，加强农田水利设施管护水平，到2025年，农村饮用水源全部完成地表水源置换。实施规模化节水灌溉工程，完成大、中型灌区续建配套和节水灌溉工程，到2025年节水灌溉面积达40万亩，农田灌溉水有效利用系数稳定在0.7左右。加快实施水系连通工程，逐步实现河湖水系全域连通，最大限度的保障河流生态流量。</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rPr>
                <w:rFonts w:ascii="黑体" w:hAnsi="黑体" w:eastAsia="黑体"/>
                <w:color w:val="000000" w:themeColor="text1"/>
                <w:kern w:val="0"/>
                <w:sz w:val="24"/>
                <w:szCs w:val="24"/>
                <w14:textFill>
                  <w14:solidFill>
                    <w14:schemeClr w14:val="tx1"/>
                  </w14:solidFill>
                </w14:textFill>
              </w:rPr>
            </w:pPr>
            <w:r>
              <w:rPr>
                <w:rFonts w:ascii="黑体" w:hAnsi="黑体" w:eastAsia="黑体"/>
                <w:color w:val="000000" w:themeColor="text1"/>
                <w:kern w:val="0"/>
                <w:sz w:val="24"/>
                <w:szCs w:val="24"/>
                <w14:textFill>
                  <w14:solidFill>
                    <w14:schemeClr w14:val="tx1"/>
                  </w14:solidFill>
                </w14:textFill>
              </w:rPr>
              <w:t>专栏</w:t>
            </w:r>
            <w:r>
              <w:rPr>
                <w:rFonts w:hint="eastAsia" w:ascii="黑体" w:hAnsi="黑体" w:eastAsia="黑体"/>
                <w:color w:val="000000" w:themeColor="text1"/>
                <w:kern w:val="0"/>
                <w:sz w:val="24"/>
                <w:szCs w:val="24"/>
                <w14:textFill>
                  <w14:solidFill>
                    <w14:schemeClr w14:val="tx1"/>
                  </w14:solidFill>
                </w14:textFill>
              </w:rPr>
              <w:t>6-2：水安全保障工程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ind w:firstLine="422" w:firstLineChars="200"/>
              <w:rPr>
                <w:rFonts w:ascii="宋体" w:hAnsi="宋体"/>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农村饮水工程：</w:t>
            </w:r>
            <w:r>
              <w:rPr>
                <w:rFonts w:hint="eastAsia" w:ascii="宋体" w:hAnsi="宋体"/>
                <w:color w:val="000000" w:themeColor="text1"/>
                <w:kern w:val="0"/>
                <w:szCs w:val="21"/>
                <w14:textFill>
                  <w14:solidFill>
                    <w14:schemeClr w14:val="tx1"/>
                  </w14:solidFill>
                </w14:textFill>
              </w:rPr>
              <w:t>深水井建设、农村饮水地表水厂建设，供水管网更新改造、水表更新。</w:t>
            </w:r>
          </w:p>
          <w:p>
            <w:pPr>
              <w:ind w:firstLine="422" w:firstLineChars="200"/>
              <w:rPr>
                <w:rFonts w:ascii="宋体" w:hAnsi="宋体"/>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水灾害防治工程：</w:t>
            </w:r>
            <w:r>
              <w:rPr>
                <w:rFonts w:hint="eastAsia" w:ascii="宋体" w:hAnsi="宋体"/>
                <w:color w:val="000000" w:themeColor="text1"/>
                <w:kern w:val="0"/>
                <w:szCs w:val="21"/>
                <w14:textFill>
                  <w14:solidFill>
                    <w14:schemeClr w14:val="tx1"/>
                  </w14:solidFill>
                </w14:textFill>
              </w:rPr>
              <w:t>大沙河、吴堂河、古宋河、大山子沟等中、小河流治理工程，大沙河北段人工蓄水湖建设，睢州坝人工蓄水湖建设，102公里水系连通工程，71万平方米坑塘治理工程，地下水超采综合治理，中型水闸除险加固工程等。</w:t>
            </w:r>
          </w:p>
          <w:p>
            <w:pPr>
              <w:ind w:firstLine="422" w:firstLineChars="200"/>
              <w:rPr>
                <w:rFonts w:ascii="宋体" w:hAnsi="宋体"/>
                <w:color w:val="000000" w:themeColor="text1"/>
                <w:kern w:val="0"/>
                <w:szCs w:val="21"/>
                <w14:textFill>
                  <w14:solidFill>
                    <w14:schemeClr w14:val="tx1"/>
                  </w14:solidFill>
                </w14:textFill>
              </w:rPr>
            </w:pPr>
            <w:r>
              <w:rPr>
                <w:rFonts w:ascii="宋体" w:hAnsi="宋体"/>
                <w:b/>
                <w:color w:val="000000" w:themeColor="text1"/>
                <w:kern w:val="0"/>
                <w:szCs w:val="21"/>
                <w14:textFill>
                  <w14:solidFill>
                    <w14:schemeClr w14:val="tx1"/>
                  </w14:solidFill>
                </w14:textFill>
              </w:rPr>
              <w:t>水利工程项目</w:t>
            </w:r>
            <w:r>
              <w:rPr>
                <w:rFonts w:hint="eastAsia" w:ascii="宋体" w:hAnsi="宋体"/>
                <w:b/>
                <w:color w:val="000000" w:themeColor="text1"/>
                <w:kern w:val="0"/>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修建4</w:t>
            </w:r>
            <w:r>
              <w:rPr>
                <w:rFonts w:ascii="宋体" w:hAnsi="宋体"/>
                <w:color w:val="000000" w:themeColor="text1"/>
                <w:kern w:val="0"/>
                <w:szCs w:val="21"/>
                <w14:textFill>
                  <w14:solidFill>
                    <w14:schemeClr w14:val="tx1"/>
                  </w14:solidFill>
                </w14:textFill>
              </w:rPr>
              <w:t>8</w:t>
            </w:r>
            <w:r>
              <w:rPr>
                <w:rFonts w:hint="eastAsia" w:ascii="宋体" w:hAnsi="宋体"/>
                <w:color w:val="000000" w:themeColor="text1"/>
                <w:kern w:val="0"/>
                <w:szCs w:val="21"/>
                <w14:textFill>
                  <w14:solidFill>
                    <w14:schemeClr w14:val="tx1"/>
                  </w14:solidFill>
                </w14:textFill>
              </w:rPr>
              <w:t>座引水泵，小堤河张先庙节制闸除险加固工程，茅草河（大曹村-入惠济河段）治理工程，通惠渠（老通惠渠口-赵口楼段）治理工程，吴堂河治理工程，梦蝶田园综合体水系连通及调蓄工程。</w:t>
            </w:r>
          </w:p>
          <w:p>
            <w:pPr>
              <w:ind w:firstLine="422" w:firstLineChars="200"/>
              <w:rPr>
                <w:rFonts w:ascii="仿宋" w:hAnsi="仿宋" w:eastAsia="仿宋"/>
                <w:b/>
                <w:color w:val="000000" w:themeColor="text1"/>
                <w:kern w:val="0"/>
                <w:sz w:val="24"/>
                <w:szCs w:val="24"/>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水库移民后期扶持项目：</w:t>
            </w:r>
            <w:r>
              <w:rPr>
                <w:rFonts w:hint="eastAsia" w:ascii="宋体" w:hAnsi="宋体"/>
                <w:color w:val="000000" w:themeColor="text1"/>
                <w:kern w:val="0"/>
                <w:szCs w:val="21"/>
                <w14:textFill>
                  <w14:solidFill>
                    <w14:schemeClr w14:val="tx1"/>
                  </w14:solidFill>
                </w14:textFill>
              </w:rPr>
              <w:t>庄子镇、北关镇、胡集乡等实施新打机井、乡村道路项目。</w:t>
            </w:r>
          </w:p>
        </w:tc>
      </w:tr>
    </w:tbl>
    <w:p>
      <w:pPr>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提升水灾害防控水平。</w:t>
      </w:r>
      <w:r>
        <w:rPr>
          <w:rFonts w:hint="eastAsia" w:ascii="仿宋_GB2312" w:hAnsi="仿宋" w:eastAsia="仿宋_GB2312"/>
          <w:color w:val="000000" w:themeColor="text1"/>
          <w:sz w:val="32"/>
          <w:szCs w:val="32"/>
          <w14:textFill>
            <w14:solidFill>
              <w14:schemeClr w14:val="tx1"/>
            </w14:solidFill>
          </w14:textFill>
        </w:rPr>
        <w:t>积极开展河道治理三年行动计划，推进大沙河、吴堂河、古宋河、大山子沟等中小河流治理工程，小堤河张先庙闸、通惠渠阎口节制闸等中型水闸除险加固工程。完善防洪减灾体系建设，全面提升防御洪涝灾害的能力。提高气象、地质、地震等自然灾害监测和预报水平，完善自然灾害监测预警系统。加大防洪排涝设施建设力度，提升基础设施抵御自然灾害的能力，加强水土保持，提升城乡防灾减灾能力。加强防洪排涝工程维护和管理，建设应急抢险物资储备中心，完善防汛应急体系。</w:t>
      </w:r>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93" w:name="_Toc50299592"/>
      <w:bookmarkStart w:id="94" w:name="_Toc62400265"/>
      <w:bookmarkStart w:id="95" w:name="_Toc71192387"/>
      <w:r>
        <w:rPr>
          <w:rFonts w:hint="eastAsia" w:ascii="Times New Roman" w:hAnsi="Times New Roman" w:eastAsia="楷体"/>
          <w:bCs w:val="0"/>
          <w:color w:val="000000" w:themeColor="text1"/>
          <w:szCs w:val="20"/>
          <w14:textFill>
            <w14:solidFill>
              <w14:schemeClr w14:val="tx1"/>
            </w14:solidFill>
          </w14:textFill>
        </w:rPr>
        <w:t>第四节</w:t>
      </w:r>
      <w:bookmarkEnd w:id="93"/>
      <w:r>
        <w:rPr>
          <w:rFonts w:hint="eastAsia" w:ascii="Times New Roman" w:hAnsi="Times New Roman" w:eastAsia="楷体"/>
          <w:bCs w:val="0"/>
          <w:color w:val="000000" w:themeColor="text1"/>
          <w:szCs w:val="20"/>
          <w14:textFill>
            <w14:solidFill>
              <w14:schemeClr w14:val="tx1"/>
            </w14:solidFill>
          </w14:textFill>
        </w:rPr>
        <w:t xml:space="preserve"> 引领未来的信息基础设施</w:t>
      </w:r>
      <w:bookmarkEnd w:id="94"/>
      <w:r>
        <w:rPr>
          <w:rFonts w:hint="eastAsia" w:ascii="Times New Roman" w:hAnsi="Times New Roman" w:eastAsia="楷体"/>
          <w:bCs w:val="0"/>
          <w:color w:val="000000" w:themeColor="text1"/>
          <w:szCs w:val="20"/>
          <w14:textFill>
            <w14:solidFill>
              <w14:schemeClr w14:val="tx1"/>
            </w14:solidFill>
          </w14:textFill>
        </w:rPr>
        <w:t>体系</w:t>
      </w:r>
      <w:bookmarkEnd w:id="95"/>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统筹传统与新型基础设施建设，加快第五代移动通信设施、大数据中心等建设，鼓励5G+集成技术应用，构建适应智能经济、智能社会发展需求的新型基础设施体系。</w:t>
      </w:r>
    </w:p>
    <w:p>
      <w:pPr>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加快5G新型基础设施建设和示范应用。</w:t>
      </w:r>
      <w:r>
        <w:rPr>
          <w:rFonts w:hint="eastAsia" w:ascii="仿宋_GB2312" w:hAnsi="仿宋" w:eastAsia="仿宋_GB2312"/>
          <w:color w:val="000000" w:themeColor="text1"/>
          <w:sz w:val="32"/>
          <w:szCs w:val="32"/>
          <w14:textFill>
            <w14:solidFill>
              <w14:schemeClr w14:val="tx1"/>
            </w14:solidFill>
          </w14:textFill>
        </w:rPr>
        <w:t>继续实施“网络强县”战略，加快</w:t>
      </w:r>
      <w:r>
        <w:rPr>
          <w:rFonts w:ascii="仿宋_GB2312" w:hAnsi="仿宋" w:eastAsia="仿宋_GB2312"/>
          <w:color w:val="000000" w:themeColor="text1"/>
          <w:sz w:val="32"/>
          <w:szCs w:val="32"/>
          <w14:textFill>
            <w14:solidFill>
              <w14:schemeClr w14:val="tx1"/>
            </w14:solidFill>
          </w14:textFill>
        </w:rPr>
        <w:t>5G网络建设步伐</w:t>
      </w:r>
      <w:r>
        <w:rPr>
          <w:rFonts w:hint="eastAsia" w:ascii="仿宋_GB2312" w:hAnsi="仿宋" w:eastAsia="仿宋_GB2312"/>
          <w:color w:val="000000" w:themeColor="text1"/>
          <w:sz w:val="32"/>
          <w:szCs w:val="32"/>
          <w14:textFill>
            <w14:solidFill>
              <w14:schemeClr w14:val="tx1"/>
            </w14:solidFill>
          </w14:textFill>
        </w:rPr>
        <w:t>，推进5G站址专项规划和5G基站全面建设。到2025年，5G基站数量达到1000个以上，实现全县5G网络基本全覆盖，5G用户突破50万。5G应用场景得到推广，智慧城市、智慧医疗、智慧交通、智慧农业、智慧教育、智慧能源、智慧旅游、新媒体、智慧环保等领域得到进一步拓展。支持联通河南东部大区通信云核心数据中心（DC）和5G网络指挥中心、中国移动商丘大数据中心和调度指挥中心建设，提升5G业务承载能力，助力全市5G网络区域枢纽建设。积极推进5G配套设施建设，开展基站直供电改造，降低全县基站转供电比例。推动5G网络建设与网络安全同步规划、同步实施，构建主动防御、在线监测、预警通报、跟踪处置一体化的安全防控体系。</w:t>
      </w:r>
    </w:p>
    <w:p>
      <w:pPr>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建设大数据中心。</w:t>
      </w:r>
      <w:r>
        <w:rPr>
          <w:rFonts w:hint="eastAsia" w:ascii="仿宋_GB2312" w:hAnsi="仿宋" w:eastAsia="仿宋_GB2312"/>
          <w:color w:val="000000" w:themeColor="text1"/>
          <w:sz w:val="32"/>
          <w:szCs w:val="32"/>
          <w14:textFill>
            <w14:solidFill>
              <w14:schemeClr w14:val="tx1"/>
            </w14:solidFill>
          </w14:textFill>
        </w:rPr>
        <w:t>统筹推进“数字政府”和“智慧民权”建设，大力推进智慧民权大数据中心项目建设，建设云计算中心、数据库工程、信息资源交换共享平台、大数据服务平台、智慧民权体验中心、基础支撑平台、“互联网+政务服务”和智慧民权统一APP等子工程，打造基于数据共享、政务管理、便民服务三大体系的基层智慧治理新平台。建设政务大数据平台，加快数据共享。开展大数据示范应用，建立健全大数据辅助科学决策和社会治理模式创新，推进政府决策科学化、社会治理精细化、公共服务高效化。</w:t>
      </w:r>
    </w:p>
    <w:tbl>
      <w:tblPr>
        <w:tblStyle w:val="20"/>
        <w:tblpPr w:leftFromText="180" w:rightFromText="180" w:vertAnchor="text" w:horzAnchor="margin" w:tblpXSpec="center" w:tblpY="6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522" w:type="dxa"/>
            <w:vAlign w:val="center"/>
          </w:tcPr>
          <w:p>
            <w:pPr>
              <w:rPr>
                <w:rFonts w:ascii="宋体" w:hAnsi="宋体"/>
                <w:color w:val="000000" w:themeColor="text1"/>
                <w:szCs w:val="21"/>
                <w14:textFill>
                  <w14:solidFill>
                    <w14:schemeClr w14:val="tx1"/>
                  </w14:solidFill>
                </w14:textFill>
              </w:rPr>
            </w:pPr>
            <w:r>
              <w:rPr>
                <w:rFonts w:ascii="黑体" w:hAnsi="黑体" w:eastAsia="黑体"/>
                <w:color w:val="000000" w:themeColor="text1"/>
                <w:kern w:val="0"/>
                <w:sz w:val="24"/>
                <w:szCs w:val="24"/>
                <w14:textFill>
                  <w14:solidFill>
                    <w14:schemeClr w14:val="tx1"/>
                  </w14:solidFill>
                </w14:textFill>
              </w:rPr>
              <w:t>专栏</w:t>
            </w:r>
            <w:r>
              <w:rPr>
                <w:rFonts w:hint="eastAsia" w:ascii="黑体" w:hAnsi="黑体" w:eastAsia="黑体"/>
                <w:color w:val="000000" w:themeColor="text1"/>
                <w:kern w:val="0"/>
                <w:sz w:val="24"/>
                <w:szCs w:val="24"/>
                <w14:textFill>
                  <w14:solidFill>
                    <w14:schemeClr w14:val="tx1"/>
                  </w14:solidFill>
                </w14:textFill>
              </w:rPr>
              <w:t>6-3：新基建重点项目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智慧民权大数据中心：</w:t>
            </w:r>
            <w:r>
              <w:rPr>
                <w:rFonts w:hint="eastAsia" w:ascii="宋体" w:hAnsi="宋体"/>
                <w:color w:val="000000" w:themeColor="text1"/>
                <w:szCs w:val="21"/>
                <w14:textFill>
                  <w14:solidFill>
                    <w14:schemeClr w14:val="tx1"/>
                  </w14:solidFill>
                </w14:textFill>
              </w:rPr>
              <w:t>项目占地47.93亩，总建筑面积19391.1平方米，计划总投资3.12亿元。包括智慧民权大数据中心基础建设和专业平台建设。</w:t>
            </w:r>
          </w:p>
        </w:tc>
      </w:tr>
    </w:tbl>
    <w:p>
      <w:pPr>
        <w:widowControl/>
        <w:jc w:val="left"/>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br w:type="page"/>
      </w:r>
    </w:p>
    <w:p>
      <w:pPr>
        <w:pStyle w:val="2"/>
        <w:adjustRightInd w:val="0"/>
        <w:snapToGrid w:val="0"/>
        <w:spacing w:before="156" w:beforeLines="50" w:after="156" w:afterLines="50" w:line="240" w:lineRule="auto"/>
        <w:jc w:val="center"/>
        <w:rPr>
          <w:rFonts w:ascii="Times New Roman" w:hAnsi="Times New Roman" w:eastAsia="黑体"/>
          <w:b w:val="0"/>
          <w:color w:val="000000" w:themeColor="text1"/>
          <w:sz w:val="32"/>
          <w14:textFill>
            <w14:solidFill>
              <w14:schemeClr w14:val="tx1"/>
            </w14:solidFill>
          </w14:textFill>
        </w:rPr>
      </w:pPr>
      <w:bookmarkStart w:id="96" w:name="_Toc71192388"/>
      <w:r>
        <w:rPr>
          <w:rFonts w:hint="eastAsia" w:ascii="Times New Roman" w:hAnsi="Times New Roman" w:eastAsia="黑体"/>
          <w:b w:val="0"/>
          <w:color w:val="000000" w:themeColor="text1"/>
          <w:sz w:val="32"/>
          <w14:textFill>
            <w14:solidFill>
              <w14:schemeClr w14:val="tx1"/>
            </w14:solidFill>
          </w14:textFill>
        </w:rPr>
        <w:t>第七章 提升文化软实力，建设高层次黄河故道文旅城</w:t>
      </w:r>
      <w:bookmarkEnd w:id="96"/>
    </w:p>
    <w:p>
      <w:pPr>
        <w:ind w:firstLine="640" w:firstLineChars="200"/>
        <w:jc w:val="left"/>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坚持以社会主义核心价值观引领文化建设，加强新时代社会主义精神文明建设，深度挖掘本地文化资源，大力发展文化事业和文化产业，打造黄河故道特色文旅品牌，创建全域旅游示范县。</w:t>
      </w:r>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97" w:name="_Toc71192389"/>
      <w:r>
        <w:rPr>
          <w:rFonts w:hint="eastAsia" w:ascii="Times New Roman" w:hAnsi="Times New Roman" w:eastAsia="楷体"/>
          <w:bCs w:val="0"/>
          <w:color w:val="000000" w:themeColor="text1"/>
          <w:szCs w:val="20"/>
          <w14:textFill>
            <w14:solidFill>
              <w14:schemeClr w14:val="tx1"/>
            </w14:solidFill>
          </w14:textFill>
        </w:rPr>
        <w:t>第一节 深入践行社会主义核心价值观</w:t>
      </w:r>
      <w:bookmarkEnd w:id="97"/>
    </w:p>
    <w:p>
      <w:pPr>
        <w:ind w:firstLine="640" w:firstLineChars="200"/>
        <w:jc w:val="left"/>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巩固壮大主流思想舆论。坚持马克思主义在意识形态领域的指导地位，深入开展习近平新时代中国特色社会主义思想学习教育。推动理想信念教育常态化制度化，加强党史、新中国史、改革开放史、社会主义发展史教育，加强爱国主义、集体主义、社会主义教育，弘扬焦裕禄精神、红旗渠精神、愚公移山精神、大别山精神。推进媒体深度融合，做强新型主流媒体，建强用好融媒体中心，推进融媒体中心和新时代文明实践中心同步发展。深化思想宣传工作体制机制改革，牢牢把握正确舆论导向，加强网络文明建设，发展积极健康的网络文化。</w:t>
      </w:r>
    </w:p>
    <w:p>
      <w:pPr>
        <w:ind w:firstLine="640" w:firstLineChars="200"/>
        <w:jc w:val="left"/>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推进新时代精神文明建设，持续开展文明单位、文明村镇、文明社区、文明校园创建，全面推进社会公德、职业道德、家庭美德、个人品德建设。开展“中国好人榜”“出彩河南人”“商丘好人榜”等群体学习宣传活动，充分发挥先进典型示范引领作用。大力弘扬志愿精神，依托民权志愿者协会，带领广大市民积极参与志愿服务，营造人人知晓、人人参与的浓厚氛围，助推居民文明素质提升。以家庭、单位、学校为重点，进一步加强宣传教育，切实推动在全社会形成厉行节约的良好风气。巩固全国文明城市提名城市创建成果，积极争创全国文明城市。</w:t>
      </w:r>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98" w:name="_Toc71192390"/>
      <w:r>
        <w:rPr>
          <w:rFonts w:hint="eastAsia" w:ascii="Times New Roman" w:hAnsi="Times New Roman" w:eastAsia="楷体"/>
          <w:bCs w:val="0"/>
          <w:color w:val="000000" w:themeColor="text1"/>
          <w:szCs w:val="20"/>
          <w14:textFill>
            <w14:solidFill>
              <w14:schemeClr w14:val="tx1"/>
            </w14:solidFill>
          </w14:textFill>
        </w:rPr>
        <w:t>第二节 提升公共文化服务水平</w:t>
      </w:r>
      <w:bookmarkEnd w:id="98"/>
    </w:p>
    <w:p>
      <w:pPr>
        <w:ind w:firstLine="640" w:firstLineChars="200"/>
        <w:jc w:val="left"/>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全面提升县“三馆”、综合文化服务中心和乡村公共文化设施服务功能，形成主城区和中心镇15分钟、一般村镇20分钟的公共文化服务圈。推动重点文化惠民工程资源整合和改革创新，加快</w:t>
      </w:r>
      <w:r>
        <w:rPr>
          <w:rFonts w:ascii="Times New Roman" w:hAnsi="Times New Roman" w:eastAsia="仿宋_GB2312"/>
          <w:color w:val="000000" w:themeColor="text1"/>
          <w:sz w:val="32"/>
          <w:szCs w:val="32"/>
          <w14:textFill>
            <w14:solidFill>
              <w14:schemeClr w14:val="tx1"/>
            </w14:solidFill>
          </w14:textFill>
        </w:rPr>
        <w:t>推进</w:t>
      </w:r>
      <w:r>
        <w:rPr>
          <w:rFonts w:hint="eastAsia" w:ascii="Times New Roman" w:hAnsi="Times New Roman" w:eastAsia="仿宋_GB2312"/>
          <w:color w:val="000000" w:themeColor="text1"/>
          <w:sz w:val="32"/>
          <w:szCs w:val="32"/>
          <w14:textFill>
            <w14:solidFill>
              <w14:schemeClr w14:val="tx1"/>
            </w14:solidFill>
          </w14:textFill>
        </w:rPr>
        <w:t>民权县</w:t>
      </w:r>
      <w:r>
        <w:rPr>
          <w:rFonts w:ascii="Times New Roman" w:hAnsi="Times New Roman" w:eastAsia="仿宋_GB2312"/>
          <w:color w:val="000000" w:themeColor="text1"/>
          <w:sz w:val="32"/>
          <w:szCs w:val="32"/>
          <w14:textFill>
            <w14:solidFill>
              <w14:schemeClr w14:val="tx1"/>
            </w14:solidFill>
          </w14:textFill>
        </w:rPr>
        <w:t>公共文化</w:t>
      </w:r>
      <w:r>
        <w:rPr>
          <w:rFonts w:hint="eastAsia" w:ascii="Times New Roman" w:hAnsi="Times New Roman" w:eastAsia="仿宋_GB2312"/>
          <w:color w:val="000000" w:themeColor="text1"/>
          <w:sz w:val="32"/>
          <w:szCs w:val="32"/>
          <w14:textFill>
            <w14:solidFill>
              <w14:schemeClr w14:val="tx1"/>
            </w14:solidFill>
          </w14:textFill>
        </w:rPr>
        <w:t>数字</w:t>
      </w:r>
      <w:r>
        <w:rPr>
          <w:rFonts w:ascii="Times New Roman" w:hAnsi="Times New Roman" w:eastAsia="仿宋_GB2312"/>
          <w:color w:val="000000" w:themeColor="text1"/>
          <w:sz w:val="32"/>
          <w:szCs w:val="32"/>
          <w14:textFill>
            <w14:solidFill>
              <w14:schemeClr w14:val="tx1"/>
            </w14:solidFill>
          </w14:textFill>
        </w:rPr>
        <w:t>平台</w:t>
      </w:r>
      <w:r>
        <w:rPr>
          <w:rFonts w:hint="eastAsia" w:ascii="Times New Roman" w:hAnsi="Times New Roman" w:eastAsia="仿宋_GB2312"/>
          <w:color w:val="000000" w:themeColor="text1"/>
          <w:sz w:val="32"/>
          <w:szCs w:val="32"/>
          <w14:textFill>
            <w14:solidFill>
              <w14:schemeClr w14:val="tx1"/>
            </w14:solidFill>
          </w14:textFill>
        </w:rPr>
        <w:t>建设，促使平台建设工作</w:t>
      </w:r>
      <w:r>
        <w:rPr>
          <w:rFonts w:ascii="Times New Roman" w:hAnsi="Times New Roman" w:eastAsia="仿宋_GB2312"/>
          <w:color w:val="000000" w:themeColor="text1"/>
          <w:sz w:val="32"/>
          <w:szCs w:val="32"/>
          <w14:textFill>
            <w14:solidFill>
              <w14:schemeClr w14:val="tx1"/>
            </w14:solidFill>
          </w14:textFill>
        </w:rPr>
        <w:t>尽快进入全</w:t>
      </w:r>
      <w:r>
        <w:rPr>
          <w:rFonts w:hint="eastAsia" w:ascii="Times New Roman" w:hAnsi="Times New Roman" w:eastAsia="仿宋_GB2312"/>
          <w:color w:val="000000" w:themeColor="text1"/>
          <w:sz w:val="32"/>
          <w:szCs w:val="32"/>
          <w14:textFill>
            <w14:solidFill>
              <w14:schemeClr w14:val="tx1"/>
            </w14:solidFill>
          </w14:textFill>
        </w:rPr>
        <w:t>省</w:t>
      </w:r>
      <w:r>
        <w:rPr>
          <w:rFonts w:ascii="Times New Roman" w:hAnsi="Times New Roman" w:eastAsia="仿宋_GB2312"/>
          <w:color w:val="000000" w:themeColor="text1"/>
          <w:sz w:val="32"/>
          <w:szCs w:val="32"/>
          <w14:textFill>
            <w14:solidFill>
              <w14:schemeClr w14:val="tx1"/>
            </w14:solidFill>
          </w14:textFill>
        </w:rPr>
        <w:t>第一方阵</w:t>
      </w:r>
      <w:r>
        <w:rPr>
          <w:rFonts w:hint="eastAsia" w:ascii="Times New Roman" w:hAnsi="Times New Roman" w:eastAsia="仿宋_GB2312"/>
          <w:color w:val="000000" w:themeColor="text1"/>
          <w:sz w:val="32"/>
          <w:szCs w:val="32"/>
          <w14:textFill>
            <w14:solidFill>
              <w14:schemeClr w14:val="tx1"/>
            </w14:solidFill>
          </w14:textFill>
        </w:rPr>
        <w:t>。继续支持爱国主义教育示范基地、博物馆、公共图书馆、文化馆（站）等公共文化设施免费开放。以县文化馆、图书馆为中心推进总分馆制建设，加强对乡、村两级综合文化服务中心、农家书屋统筹管理，实现城乡社区公共文化服务资源整合和互联互通。继续开展“文化和自然遗产日”非物质文化遗产展等文化活动，丰富群众文化生活。巩固提升省级公共文化服务体系示范区建设成果，落实推动基本公共文化服务标准化建设。</w:t>
      </w:r>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99" w:name="_Toc71192391"/>
      <w:r>
        <w:rPr>
          <w:rFonts w:hint="eastAsia" w:ascii="Times New Roman" w:hAnsi="Times New Roman" w:eastAsia="楷体"/>
          <w:bCs w:val="0"/>
          <w:color w:val="000000" w:themeColor="text1"/>
          <w:szCs w:val="20"/>
          <w14:textFill>
            <w14:solidFill>
              <w14:schemeClr w14:val="tx1"/>
            </w14:solidFill>
          </w14:textFill>
        </w:rPr>
        <w:t>第三节 大力发展文化产业</w:t>
      </w:r>
      <w:bookmarkEnd w:id="83"/>
      <w:bookmarkEnd w:id="99"/>
    </w:p>
    <w:p>
      <w:pPr>
        <w:ind w:firstLine="640" w:firstLineChars="200"/>
        <w:jc w:val="left"/>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坚定文化自信，成立文化产业发展公司，挖掘地域文化资源，培育文化创意产业。扩大文化产业规模，提升文化教育、文体娱乐、文化零售供给层次，拉动文化消费。培育文旅、文体、文教产业主体，推动各类公益性、商业性文化活动，繁荣文化产业。开发文、学、游精品，重点培育文化旅游、会展创意、文体经纪、研学旅行等新兴文化产业。</w:t>
      </w:r>
    </w:p>
    <w:p>
      <w:pPr>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打造民权特色文化名片。举办国际庄子文化节、庄氏宗亲祭祖活动，开展庄子学术研讨会，打造庄子文化名片。以王公庄画虎村、麻花庄、赵洪坡、史村铺村为主体，围绕乡村特色做文章，打造乡村民俗文化名片。依托水东红色文旅小镇秣坡村、红色堡垒村葛庄村、道北第一党支部胡集村、李馆地道遗址、浑子集睢杞战役指挥部旧址，打造红色文化名片。弘扬以庄子、江淹、王贯三等为代表的名臣、名士文化精神，重视人文思想传承转化，打造名人文化名片。挖掘白云禅寺孝善、根亲和官德文化。挖掘葵丘会盟台遗址古战争文化。深入挖掘黄河故道历史文化、葡萄酒文化，积极融入黄河文化“大合唱”。加强文化遗址、遗迹、遗存保护修缮，促进历史文化传承和创造性转化，推动文化、创意、科技、资本融合，开发文化产业。</w:t>
      </w:r>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100" w:name="_Toc65849392"/>
      <w:bookmarkStart w:id="101" w:name="_Toc71192392"/>
      <w:r>
        <w:rPr>
          <w:rFonts w:hint="eastAsia" w:ascii="Times New Roman" w:hAnsi="Times New Roman" w:eastAsia="楷体"/>
          <w:bCs w:val="0"/>
          <w:color w:val="000000" w:themeColor="text1"/>
          <w:szCs w:val="20"/>
          <w14:textFill>
            <w14:solidFill>
              <w14:schemeClr w14:val="tx1"/>
            </w14:solidFill>
          </w14:textFill>
        </w:rPr>
        <w:t>第四节 建设全景式庄子小镇</w:t>
      </w:r>
      <w:bookmarkEnd w:id="100"/>
      <w:bookmarkEnd w:id="101"/>
    </w:p>
    <w:p>
      <w:pPr>
        <w:ind w:firstLine="640"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阐释文哲大师庄子“逍遥”思想，强化游客“静、美、养、乐、享、优”的体验感受，塑造“若有闲·享民权”印象符号与核心品牌。</w:t>
      </w:r>
      <w:r>
        <w:rPr>
          <w:rFonts w:hint="eastAsia" w:ascii="Times New Roman" w:hAnsi="Times New Roman" w:eastAsia="仿宋_GB2312"/>
          <w:color w:val="000000" w:themeColor="text1"/>
          <w:sz w:val="32"/>
          <w:szCs w:val="32"/>
          <w14:textFill>
            <w14:solidFill>
              <w14:schemeClr w14:val="tx1"/>
            </w14:solidFill>
          </w14:textFill>
        </w:rPr>
        <w:t>持续举办国际庄子文化节，</w:t>
      </w:r>
      <w:r>
        <w:rPr>
          <w:rFonts w:ascii="Times New Roman" w:hAnsi="Times New Roman" w:eastAsia="仿宋_GB2312"/>
          <w:color w:val="000000" w:themeColor="text1"/>
          <w:sz w:val="32"/>
          <w:szCs w:val="32"/>
          <w14:textFill>
            <w14:solidFill>
              <w14:schemeClr w14:val="tx1"/>
            </w14:solidFill>
          </w14:textFill>
        </w:rPr>
        <w:t>加强</w:t>
      </w:r>
      <w:r>
        <w:rPr>
          <w:rFonts w:hint="eastAsia" w:ascii="Times New Roman" w:hAnsi="Times New Roman" w:eastAsia="仿宋_GB2312"/>
          <w:color w:val="000000" w:themeColor="text1"/>
          <w:sz w:val="32"/>
          <w:szCs w:val="32"/>
          <w14:textFill>
            <w14:solidFill>
              <w14:schemeClr w14:val="tx1"/>
            </w14:solidFill>
          </w14:textFill>
        </w:rPr>
        <w:t>文化</w:t>
      </w:r>
      <w:r>
        <w:rPr>
          <w:rFonts w:ascii="Times New Roman" w:hAnsi="Times New Roman" w:eastAsia="仿宋_GB2312"/>
          <w:color w:val="000000" w:themeColor="text1"/>
          <w:sz w:val="32"/>
          <w:szCs w:val="32"/>
          <w14:textFill>
            <w14:solidFill>
              <w14:schemeClr w14:val="tx1"/>
            </w14:solidFill>
          </w14:textFill>
        </w:rPr>
        <w:t>遗存保护</w:t>
      </w:r>
      <w:r>
        <w:rPr>
          <w:rFonts w:hint="eastAsia" w:ascii="Times New Roman" w:hAnsi="Times New Roman" w:eastAsia="仿宋_GB2312"/>
          <w:color w:val="000000" w:themeColor="text1"/>
          <w:sz w:val="32"/>
          <w:szCs w:val="32"/>
          <w14:textFill>
            <w14:solidFill>
              <w14:schemeClr w14:val="tx1"/>
            </w14:solidFill>
          </w14:textFill>
        </w:rPr>
        <w:t>和</w:t>
      </w:r>
      <w:r>
        <w:rPr>
          <w:rFonts w:ascii="Times New Roman" w:hAnsi="Times New Roman" w:eastAsia="仿宋_GB2312"/>
          <w:color w:val="000000" w:themeColor="text1"/>
          <w:sz w:val="32"/>
          <w:szCs w:val="32"/>
          <w14:textFill>
            <w14:solidFill>
              <w14:schemeClr w14:val="tx1"/>
            </w14:solidFill>
          </w14:textFill>
        </w:rPr>
        <w:t>文化载体开发，</w:t>
      </w:r>
      <w:r>
        <w:rPr>
          <w:rFonts w:hint="eastAsia" w:ascii="Times New Roman" w:hAnsi="Times New Roman" w:eastAsia="仿宋_GB2312"/>
          <w:color w:val="000000" w:themeColor="text1"/>
          <w:sz w:val="32"/>
          <w:szCs w:val="32"/>
          <w14:textFill>
            <w14:solidFill>
              <w14:schemeClr w14:val="tx1"/>
            </w14:solidFill>
          </w14:textFill>
        </w:rPr>
        <w:t>促进相关影视剧编制，推动庄子文化创造性转化。</w:t>
      </w:r>
    </w:p>
    <w:p>
      <w:pPr>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大力开发庄子文化资源，建设庄子文化旅游小镇、庄子文化园，发展庄子文化产业。加强文化遗迹遗存修缮和恢复，连通庄子故里和老颜集乡庄周陵园，促进沿线农文旅开发。拓展利用黄河故道、背河洼地生态资源，融入庄子元典文化精髓，发展休闲观光、道家养生、研学旅行等旅游业态。加快庄子故里、庄周陵园与庄子文化馆、王公庄、黄河故道等生态文旅载体的高效连通，加快李馆地道、葵丘会盟遗址修复重建，加快形成庄子文化旅游线路闭环。加强协作，力促庄子文化全景式开发展示，打造以庄子文化体验、对话先贤、回归自然、休闲康养为主题的特色旅游精品，建设全景式庄子小镇，联创4A级景区。</w:t>
      </w:r>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102" w:name="_Toc71192393"/>
      <w:bookmarkStart w:id="103" w:name="_Toc65849393"/>
      <w:r>
        <w:rPr>
          <w:rFonts w:hint="eastAsia" w:ascii="Times New Roman" w:hAnsi="Times New Roman" w:eastAsia="楷体"/>
          <w:bCs w:val="0"/>
          <w:color w:val="000000" w:themeColor="text1"/>
          <w:szCs w:val="20"/>
          <w14:textFill>
            <w14:solidFill>
              <w14:schemeClr w14:val="tx1"/>
            </w14:solidFill>
          </w14:textFill>
        </w:rPr>
        <w:t>第五节 打造高层次黄河故道文旅城</w:t>
      </w:r>
      <w:bookmarkEnd w:id="102"/>
      <w:bookmarkEnd w:id="103"/>
    </w:p>
    <w:p>
      <w:pPr>
        <w:adjustRightInd w:val="0"/>
        <w:snapToGrid w:val="0"/>
        <w:ind w:firstLine="640" w:firstLineChars="200"/>
        <w:outlineLvl w:val="2"/>
        <w:rPr>
          <w:rFonts w:ascii="仿宋_GB2312" w:hAnsi="黑体" w:eastAsia="仿宋_GB2312"/>
          <w:color w:val="000000" w:themeColor="text1"/>
          <w14:textFill>
            <w14:solidFill>
              <w14:schemeClr w14:val="tx1"/>
            </w14:solidFill>
          </w14:textFill>
        </w:rPr>
      </w:pPr>
      <w:bookmarkStart w:id="104" w:name="_Toc65849394"/>
      <w:bookmarkStart w:id="105" w:name="_Toc71192394"/>
      <w:r>
        <w:rPr>
          <w:rFonts w:hint="eastAsia" w:ascii="Times New Roman" w:hAnsi="Times New Roman" w:eastAsia="楷体"/>
          <w:color w:val="000000" w:themeColor="text1"/>
          <w:sz w:val="32"/>
          <w:szCs w:val="32"/>
          <w14:textFill>
            <w14:solidFill>
              <w14:schemeClr w14:val="tx1"/>
            </w14:solidFill>
          </w14:textFill>
        </w:rPr>
        <w:t>（一）构建生态文旅融合新格局</w:t>
      </w:r>
      <w:bookmarkEnd w:id="104"/>
      <w:bookmarkEnd w:id="105"/>
    </w:p>
    <w:p>
      <w:pPr>
        <w:ind w:firstLine="640"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以生态为基、文化为根、融合为要、休闲为本，整合挖掘生态、文化和特色资源，构建大生态、大文旅新格局，推动旅游与生态、文化、教育、体育、康养、农业农村、工商服务业融合互动。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napToGrid w:val="0"/>
              <w:rPr>
                <w:rFonts w:ascii="宋体" w:hAnsi="宋体"/>
                <w:color w:val="000000" w:themeColor="text1"/>
                <w:szCs w:val="21"/>
                <w14:textFill>
                  <w14:solidFill>
                    <w14:schemeClr w14:val="tx1"/>
                  </w14:solidFill>
                </w14:textFill>
              </w:rPr>
            </w:pPr>
            <w:r>
              <w:rPr>
                <w:rFonts w:hint="eastAsia" w:ascii="Times New Roman" w:hAnsi="Times New Roman" w:eastAsia="黑体"/>
                <w:bCs/>
                <w:color w:val="000000" w:themeColor="text1"/>
                <w:sz w:val="24"/>
                <w:szCs w:val="24"/>
                <w14:textFill>
                  <w14:solidFill>
                    <w14:schemeClr w14:val="tx1"/>
                  </w14:solidFill>
                </w14:textFill>
              </w:rPr>
              <w:t>专栏7-1：民权县生态、文化、特色资源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ind w:firstLine="422" w:firstLineChars="200"/>
              <w:rPr>
                <w:rFonts w:ascii="宋体" w:hAnsi="宋体"/>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生态资源：</w:t>
            </w:r>
            <w:r>
              <w:rPr>
                <w:rFonts w:hint="eastAsia" w:ascii="宋体" w:hAnsi="宋体"/>
                <w:bCs/>
                <w:color w:val="000000" w:themeColor="text1"/>
                <w:szCs w:val="21"/>
                <w14:textFill>
                  <w14:solidFill>
                    <w14:schemeClr w14:val="tx1"/>
                  </w14:solidFill>
                </w14:textFill>
              </w:rPr>
              <w:t>52公里黄河故道，7万亩国家生态公园，3.45万亩国际湿地，300平方公里中小流域水源地，北关镇、庄子镇黄河故道背河洼地生态湿地资源，“花木之乡”“中国紫穗槐之乡”，乡镇森林游园，中小河流、农田防护、交通廊道、公园绿地、乡村绿化等。</w:t>
            </w:r>
          </w:p>
          <w:p>
            <w:pPr>
              <w:ind w:firstLine="422" w:firstLineChars="200"/>
              <w:rPr>
                <w:rFonts w:ascii="宋体" w:hAnsi="宋体"/>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文化资源：</w:t>
            </w:r>
            <w:r>
              <w:rPr>
                <w:rFonts w:hint="eastAsia" w:ascii="宋体" w:hAnsi="宋体"/>
                <w:bCs/>
                <w:color w:val="000000" w:themeColor="text1"/>
                <w:szCs w:val="21"/>
                <w14:textFill>
                  <w14:solidFill>
                    <w14:schemeClr w14:val="tx1"/>
                  </w14:solidFill>
                </w14:textFill>
              </w:rPr>
              <w:t>中国庄子文化之乡：庄周故里、庄周陵园、庄子井、庄子文化馆、庄子民俗、庄子传说故事。中国画虎第一村工笔画特色文化。红色文化：李馆地道旧址，葛庄红色堡垒村，民权第一个党支部秣坡村等。名胜古迹：白云禅寺，葵丘会盟台遗址，吴岗遗址，李岗遗址，牛牧岗遗址，外黄故城遗址。名人文化：庄子、江淹、史弼、宋庠、宋祁、王贯三等名臣、名士、名家。葡萄酒工业旧址，非物质文化遗产：李馆大平调、南北庄竹马舞、豫东琴书等。</w:t>
            </w:r>
          </w:p>
          <w:p>
            <w:pPr>
              <w:ind w:firstLine="422" w:firstLineChars="200"/>
              <w:rPr>
                <w:rFonts w:ascii="宋体" w:hAnsi="宋体"/>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特色资源：</w:t>
            </w:r>
            <w:r>
              <w:rPr>
                <w:rFonts w:hint="eastAsia" w:ascii="宋体" w:hAnsi="宋体"/>
                <w:bCs/>
                <w:color w:val="000000" w:themeColor="text1"/>
                <w:szCs w:val="21"/>
                <w14:textFill>
                  <w14:solidFill>
                    <w14:schemeClr w14:val="tx1"/>
                  </w14:solidFill>
                </w14:textFill>
              </w:rPr>
              <w:t>制冷工业及产品，葡萄原产地标识、酒庄和葡萄酒加工，花生、麻花、酥梨、莲藕、辣椒、香葱、虾蟹水产等特优农产品、食品。梦蝶会展中心，葡萄小镇、通航小镇建设等。赵洪坡民俗文化村，人和双飞葡萄观光农业产业园，史村铺村国家旅游扶贫重点村、水乡任庄特色旅游村等。</w:t>
            </w:r>
          </w:p>
        </w:tc>
      </w:tr>
    </w:tbl>
    <w:p>
      <w:pPr>
        <w:ind w:firstLine="640"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深化旅游供给侧改革，推动观光旅游向享受自然、文化体验、康体养生、休闲度假、产业体验、研学旅行转变。提升旅游品质，创造用户需求，推动形成“一廊道、三组团”空间布局，建设庄子小镇、葡萄小镇、民俗小镇。</w:t>
      </w:r>
    </w:p>
    <w:p>
      <w:pPr>
        <w:ind w:firstLine="643"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一廊道：</w:t>
      </w:r>
      <w:r>
        <w:rPr>
          <w:rFonts w:hint="eastAsia" w:ascii="仿宋_GB2312" w:hAnsi="华文仿宋" w:eastAsia="仿宋_GB2312"/>
          <w:color w:val="000000" w:themeColor="text1"/>
          <w:sz w:val="32"/>
          <w:szCs w:val="32"/>
          <w14:textFill>
            <w14:solidFill>
              <w14:schemeClr w14:val="tx1"/>
            </w14:solidFill>
          </w14:textFill>
        </w:rPr>
        <w:t>依托“两园一廊”，结合大运河（通惠渠）治理修复，葡萄酒产业经济带打造，通航小镇建设，故道两岸文化遗址与非遗保护开发，显化生态价值，创造生态产品，提升文化传承价值，建设生态休闲康养廊道。实施黄河故道生态旅游项目，融合庄子元典文化，融入全景式庄子小镇开发建设。</w:t>
      </w:r>
    </w:p>
    <w:p>
      <w:pPr>
        <w:ind w:firstLine="643"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三组团：</w:t>
      </w:r>
      <w:r>
        <w:rPr>
          <w:rFonts w:hint="eastAsia" w:ascii="仿宋_GB2312" w:hAnsi="华文仿宋" w:eastAsia="仿宋_GB2312"/>
          <w:color w:val="000000" w:themeColor="text1"/>
          <w:sz w:val="32"/>
          <w:szCs w:val="32"/>
          <w14:textFill>
            <w14:solidFill>
              <w14:schemeClr w14:val="tx1"/>
            </w14:solidFill>
          </w14:textFill>
        </w:rPr>
        <w:t>依托庄子故里、庄周陵园、王公庄、李馆地道遗址、葛庄红色堡垒村、麻花庄、背河洼地等，建设文化生态组团，重点推动庄子元典文化全景式开发。依托秣坡村、现代农业产业园、紫穗槐之乡、白云禅寺、文物遗址、名人文化等，促进农业人文观光组团开发，重点建设人和葡萄小镇。依托赵洪坡民俗文化村、花木之乡，提升民俗体验组团，建设民俗小镇。</w:t>
      </w:r>
    </w:p>
    <w:p>
      <w:pPr>
        <w:adjustRightInd w:val="0"/>
        <w:snapToGrid w:val="0"/>
        <w:ind w:firstLine="640" w:firstLineChars="200"/>
        <w:outlineLvl w:val="2"/>
        <w:rPr>
          <w:rFonts w:ascii="Times New Roman" w:hAnsi="Times New Roman" w:eastAsia="楷体"/>
          <w:color w:val="000000" w:themeColor="text1"/>
          <w:sz w:val="32"/>
          <w:szCs w:val="32"/>
          <w14:textFill>
            <w14:solidFill>
              <w14:schemeClr w14:val="tx1"/>
            </w14:solidFill>
          </w14:textFill>
        </w:rPr>
      </w:pPr>
      <w:bookmarkStart w:id="106" w:name="_Toc71192395"/>
      <w:bookmarkStart w:id="107" w:name="_Toc65849396"/>
      <w:r>
        <w:rPr>
          <w:rFonts w:hint="eastAsia" w:ascii="Times New Roman" w:hAnsi="Times New Roman" w:eastAsia="楷体"/>
          <w:color w:val="000000" w:themeColor="text1"/>
          <w:sz w:val="32"/>
          <w:szCs w:val="32"/>
          <w14:textFill>
            <w14:solidFill>
              <w14:schemeClr w14:val="tx1"/>
            </w14:solidFill>
          </w14:textFill>
        </w:rPr>
        <w:t>（二）创建全域旅游示范县</w:t>
      </w:r>
      <w:bookmarkEnd w:id="106"/>
      <w:bookmarkEnd w:id="107"/>
    </w:p>
    <w:p>
      <w:pPr>
        <w:ind w:firstLine="640"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整合生态文化旅游资源，高质量打造黄河故道生态文化观光体验之旅、庄子文化逍遥之旅、特色乡村民俗之旅、红色文化教育之旅、葡萄酒文化品鉴之旅。延伸产业链，提高附加值，打造生态文旅精品，适时推出黄河故道文化旅游节，探索传统农区创建全域旅游示范县路径，打造高层次的黄河故道文旅城。</w:t>
      </w:r>
    </w:p>
    <w:p>
      <w:pPr>
        <w:ind w:firstLine="640"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成立文旅集团，设立产业投资基金，撬动社会资本投入，整合资金、人才和资源，统一规划建设基础设施，完善旅游集散中心、智慧数据平台等服务设施。促进庄子小镇组合抱团开发，加强人和镇葡萄小镇建设，提升白云禅寺景区质量和影响力，搞活赵洪坡村民俗、民宿产业。结合葡萄酒工业旧址修建、故道产区打造、酒庄酒堡建设等，引领中部葡萄酒文化开发。</w:t>
      </w:r>
    </w:p>
    <w:p>
      <w:pPr>
        <w:ind w:firstLine="640"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创造生态产品，提升林下体验、湿地观光游览、魅力乡村体验等产业。</w:t>
      </w:r>
      <w:r>
        <w:rPr>
          <w:rFonts w:hint="eastAsia" w:ascii="仿宋_GB2312" w:eastAsia="仿宋_GB2312"/>
          <w:color w:val="000000" w:themeColor="text1"/>
          <w:sz w:val="32"/>
          <w:szCs w:val="32"/>
          <w14:textFill>
            <w14:solidFill>
              <w14:schemeClr w14:val="tx1"/>
            </w14:solidFill>
          </w14:textFill>
        </w:rPr>
        <w:t>完善农业观光园、有机农业示范区、乡村游乐园、乡镇森林游园全域化旅游设施</w:t>
      </w:r>
      <w:r>
        <w:rPr>
          <w:rFonts w:hint="eastAsia" w:ascii="仿宋_GB2312" w:hAnsi="华文仿宋" w:eastAsia="仿宋_GB2312"/>
          <w:color w:val="000000" w:themeColor="text1"/>
          <w:sz w:val="32"/>
          <w:szCs w:val="32"/>
          <w14:textFill>
            <w14:solidFill>
              <w14:schemeClr w14:val="tx1"/>
            </w14:solidFill>
          </w14:textFill>
        </w:rPr>
        <w:t>。创建旅游特色村、示范镇、主题园、农业园、示范区等。实施自驾游示范工程，培育一批精品农家乐、精品民宿、示范农庄。加快绿洲田园综合体开发，争创省级旅游度假区，申建护理学院。办好“中国·民权槐花旅游节”“中国·民权花海湿地穿越”活动，提升旅游品牌影响力。</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napToGrid w:val="0"/>
              <w:rPr>
                <w:rFonts w:ascii="宋体" w:hAnsi="宋体"/>
                <w:b/>
                <w:color w:val="000000" w:themeColor="text1"/>
                <w:szCs w:val="21"/>
                <w14:textFill>
                  <w14:solidFill>
                    <w14:schemeClr w14:val="tx1"/>
                  </w14:solidFill>
                </w14:textFill>
              </w:rPr>
            </w:pPr>
            <w:r>
              <w:rPr>
                <w:rFonts w:hint="eastAsia" w:ascii="Times New Roman" w:hAnsi="Times New Roman" w:eastAsia="黑体"/>
                <w:bCs/>
                <w:color w:val="000000" w:themeColor="text1"/>
                <w:sz w:val="24"/>
                <w:szCs w:val="24"/>
                <w14:textFill>
                  <w14:solidFill>
                    <w14:schemeClr w14:val="tx1"/>
                  </w14:solidFill>
                </w14:textFill>
              </w:rPr>
              <w:t>专栏7-2：生态文化旅游项目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ind w:firstLine="422" w:firstLineChars="200"/>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黄河故道生态旅游：</w:t>
            </w:r>
            <w:r>
              <w:rPr>
                <w:rFonts w:hint="eastAsia" w:ascii="宋体" w:hAnsi="宋体"/>
                <w:color w:val="000000" w:themeColor="text1"/>
                <w:szCs w:val="21"/>
                <w14:textFill>
                  <w14:solidFill>
                    <w14:schemeClr w14:val="tx1"/>
                  </w14:solidFill>
                </w14:textFill>
              </w:rPr>
              <w:t>建设康养度假区、故道历史文化园（风景园）、森林湿地观光园、自驾野宿营地、生态科普馆、葵丘会盟遗址产业园等。加强与庄子文化融合，与乡村振兴结合，与葡萄酒经济产业带耦合，完善故道两侧交通闭环，率先建成生态旅游示范区。</w:t>
            </w:r>
          </w:p>
          <w:p>
            <w:pPr>
              <w:ind w:firstLine="422" w:firstLineChars="200"/>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庄子小镇全景式开发：</w:t>
            </w:r>
            <w:r>
              <w:rPr>
                <w:rFonts w:hint="eastAsia" w:ascii="宋体" w:hAnsi="宋体"/>
                <w:color w:val="000000" w:themeColor="text1"/>
                <w:szCs w:val="21"/>
                <w14:textFill>
                  <w14:solidFill>
                    <w14:schemeClr w14:val="tx1"/>
                  </w14:solidFill>
                </w14:textFill>
              </w:rPr>
              <w:t>庄子文化旅游小镇、庄子文化园，王公庄虎文化、李馆地道红色文化、背河洼地生态文化三位一体特色旅游，黄河故道生态休养旅游，葵丘会盟台修缮开发，旅游线路闭环建设和全景打造。单创3A级景区，联创4A级景区。预计总投资50亿元。</w:t>
            </w:r>
          </w:p>
          <w:p>
            <w:pPr>
              <w:ind w:firstLine="422" w:firstLineChars="200"/>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葡萄小镇开发建设：</w:t>
            </w:r>
            <w:r>
              <w:rPr>
                <w:rFonts w:hint="eastAsia" w:ascii="宋体" w:hAnsi="宋体"/>
                <w:color w:val="000000" w:themeColor="text1"/>
                <w:szCs w:val="21"/>
                <w14:textFill>
                  <w14:solidFill>
                    <w14:schemeClr w14:val="tx1"/>
                  </w14:solidFill>
                </w14:textFill>
              </w:rPr>
              <w:t>建设人和葡萄主题公园、双飞葡萄酒堡、人和葡萄酒产业园区，配建主题度假酒店，布局特色酒堡、观光农业、工业生产、高档居住四组团。结合故道产区保护、工业旧址修缮、工业博物馆建设、葡萄酒文化博览中心建设、红酒经济提升项目等，开发产业体验游、度假娱乐游，打造中部葡萄风情小镇。预计总投资10亿元。</w:t>
            </w:r>
          </w:p>
          <w:p>
            <w:pPr>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民俗小镇优化开发：</w:t>
            </w:r>
            <w:r>
              <w:rPr>
                <w:rFonts w:hint="eastAsia" w:ascii="宋体" w:hAnsi="宋体"/>
                <w:color w:val="000000" w:themeColor="text1"/>
                <w:szCs w:val="21"/>
                <w14:textFill>
                  <w14:solidFill>
                    <w14:schemeClr w14:val="tx1"/>
                  </w14:solidFill>
                </w14:textFill>
              </w:rPr>
              <w:t>建设赵洪坡民俗文化村，优化开发民俗文化区、乡村体验区、特色农业采摘区、游乐园区、原种绿色农业+农事体验区，发展现代农业、乡村旅游、农产品加工体验等新业态。</w:t>
            </w:r>
          </w:p>
          <w:p>
            <w:pPr>
              <w:ind w:firstLine="422" w:firstLineChars="200"/>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白云禅寺景区建设开发：</w:t>
            </w:r>
            <w:r>
              <w:rPr>
                <w:rFonts w:hint="eastAsia" w:ascii="宋体" w:hAnsi="宋体"/>
                <w:color w:val="000000" w:themeColor="text1"/>
                <w:szCs w:val="21"/>
                <w14:textFill>
                  <w14:solidFill>
                    <w14:schemeClr w14:val="tx1"/>
                  </w14:solidFill>
                </w14:textFill>
              </w:rPr>
              <w:t>做好招商，高标准规划，加快白云禅寺恢复重建。包装和打造书画一条街，塑造周边清修佛学文化氛围。发掘白云禅寺孝善、根亲、官德文化元素，形成孝善文化品牌。启动睢杞太战役后方医院遗址和军事博物馆项目，实施“百药花海”农业观光项目，丰富景区游览游玩项目，变“香客”为“游客”，争取升级为3A景区。</w:t>
            </w:r>
          </w:p>
          <w:p>
            <w:pPr>
              <w:ind w:firstLine="422" w:firstLineChars="200"/>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全域旅游综合服务中心：</w:t>
            </w:r>
            <w:r>
              <w:rPr>
                <w:rFonts w:hint="eastAsia" w:ascii="宋体" w:hAnsi="宋体"/>
                <w:color w:val="000000" w:themeColor="text1"/>
                <w:szCs w:val="21"/>
                <w14:textFill>
                  <w14:solidFill>
                    <w14:schemeClr w14:val="tx1"/>
                  </w14:solidFill>
                </w14:textFill>
              </w:rPr>
              <w:t>建设游客接待中心、停车场、展示中心、智慧平台等，完善基础设施配套。</w:t>
            </w:r>
          </w:p>
          <w:p>
            <w:pPr>
              <w:ind w:firstLine="422" w:firstLineChars="200"/>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智慧景区：</w:t>
            </w:r>
            <w:r>
              <w:rPr>
                <w:rFonts w:hint="eastAsia" w:ascii="宋体" w:hAnsi="宋体"/>
                <w:color w:val="000000" w:themeColor="text1"/>
                <w:szCs w:val="21"/>
                <w14:textFill>
                  <w14:solidFill>
                    <w14:schemeClr w14:val="tx1"/>
                  </w14:solidFill>
                </w14:textFill>
              </w:rPr>
              <w:t>对景区信息基础设施进行智能化升级，建设智慧旅游主题数据库，实现旅游数据集中统一采集、存储、处理，提供智慧旅游服务。</w:t>
            </w:r>
          </w:p>
        </w:tc>
      </w:tr>
      <w:bookmarkEnd w:id="77"/>
    </w:tbl>
    <w:p>
      <w:pPr>
        <w:rPr>
          <w:color w:val="000000" w:themeColor="text1"/>
          <w:kern w:val="44"/>
          <w:szCs w:val="44"/>
          <w14:textFill>
            <w14:solidFill>
              <w14:schemeClr w14:val="tx1"/>
            </w14:solidFill>
          </w14:textFill>
        </w:rPr>
      </w:pPr>
      <w:bookmarkStart w:id="108" w:name="_Toc65849404"/>
      <w:bookmarkStart w:id="109" w:name="_Toc51309236"/>
      <w:r>
        <w:rPr>
          <w:color w:val="000000" w:themeColor="text1"/>
          <w14:textFill>
            <w14:solidFill>
              <w14:schemeClr w14:val="tx1"/>
            </w14:solidFill>
          </w14:textFill>
        </w:rPr>
        <w:br w:type="page"/>
      </w:r>
    </w:p>
    <w:p>
      <w:pPr>
        <w:pStyle w:val="2"/>
        <w:adjustRightInd w:val="0"/>
        <w:snapToGrid w:val="0"/>
        <w:spacing w:before="156" w:beforeLines="50" w:after="156" w:afterLines="50" w:line="240" w:lineRule="auto"/>
        <w:jc w:val="center"/>
        <w:rPr>
          <w:rFonts w:ascii="Times New Roman" w:hAnsi="Times New Roman" w:eastAsia="黑体"/>
          <w:b w:val="0"/>
          <w:color w:val="000000" w:themeColor="text1"/>
          <w:sz w:val="32"/>
          <w14:textFill>
            <w14:solidFill>
              <w14:schemeClr w14:val="tx1"/>
            </w14:solidFill>
          </w14:textFill>
        </w:rPr>
      </w:pPr>
      <w:bookmarkStart w:id="110" w:name="_Toc71192396"/>
      <w:r>
        <w:rPr>
          <w:rFonts w:hint="eastAsia" w:ascii="Times New Roman" w:hAnsi="Times New Roman" w:eastAsia="黑体"/>
          <w:b w:val="0"/>
          <w:color w:val="000000" w:themeColor="text1"/>
          <w:sz w:val="32"/>
          <w14:textFill>
            <w14:solidFill>
              <w14:schemeClr w14:val="tx1"/>
            </w14:solidFill>
          </w14:textFill>
        </w:rPr>
        <w:t>第八章 着力新型城镇化，建设高品质美丽幸福宜居城</w:t>
      </w:r>
      <w:bookmarkEnd w:id="110"/>
    </w:p>
    <w:p>
      <w:pPr>
        <w:spacing w:before="120" w:after="120"/>
        <w:ind w:firstLine="640"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坚持以人为核心的新型城镇化，优化城镇空间结构，全面推进中心城区、中心镇和小城镇协调发展，提升中心城区建设质量，全面推进城乡融合发展，着力建设高品质美丽幸福宜居城，争创全国文明城市。</w:t>
      </w:r>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111" w:name="_Toc71192397"/>
      <w:r>
        <w:rPr>
          <w:rFonts w:hint="eastAsia" w:ascii="Times New Roman" w:hAnsi="Times New Roman" w:eastAsia="楷体"/>
          <w:bCs w:val="0"/>
          <w:color w:val="000000" w:themeColor="text1"/>
          <w:szCs w:val="20"/>
          <w14:textFill>
            <w14:solidFill>
              <w14:schemeClr w14:val="tx1"/>
            </w14:solidFill>
          </w14:textFill>
        </w:rPr>
        <w:t>第一节 优化城镇空间布局</w:t>
      </w:r>
      <w:bookmarkEnd w:id="111"/>
    </w:p>
    <w:p>
      <w:pPr>
        <w:ind w:firstLine="640"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坚持“中心带动、多点支撑、区域融合、城乡一体”的空间布局原则，构建</w:t>
      </w:r>
      <w:r>
        <w:rPr>
          <w:rFonts w:hint="eastAsia" w:ascii="仿宋_GB2312" w:hAnsi="华文仿宋" w:eastAsia="仿宋_GB2312"/>
          <w:b/>
          <w:color w:val="000000" w:themeColor="text1"/>
          <w:sz w:val="32"/>
          <w:szCs w:val="32"/>
          <w14:textFill>
            <w14:solidFill>
              <w14:schemeClr w14:val="tx1"/>
            </w14:solidFill>
          </w14:textFill>
        </w:rPr>
        <w:t>“一核、四心、多点”</w:t>
      </w:r>
      <w:r>
        <w:rPr>
          <w:rFonts w:hint="eastAsia" w:ascii="仿宋_GB2312" w:hAnsi="华文仿宋" w:eastAsia="仿宋_GB2312"/>
          <w:color w:val="000000" w:themeColor="text1"/>
          <w:sz w:val="32"/>
          <w:szCs w:val="32"/>
          <w14:textFill>
            <w14:solidFill>
              <w14:schemeClr w14:val="tx1"/>
            </w14:solidFill>
          </w14:textFill>
        </w:rPr>
        <w:t>城镇化空间发展格局，促进中心城区、中心镇和小城镇协调发展。</w:t>
      </w:r>
    </w:p>
    <w:p>
      <w:pPr>
        <w:ind w:firstLine="643"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一核。</w:t>
      </w:r>
      <w:r>
        <w:rPr>
          <w:rFonts w:hint="eastAsia" w:ascii="仿宋_GB2312" w:hAnsi="华文仿宋" w:eastAsia="仿宋_GB2312"/>
          <w:color w:val="000000" w:themeColor="text1"/>
          <w:sz w:val="32"/>
          <w:szCs w:val="32"/>
          <w14:textFill>
            <w14:solidFill>
              <w14:schemeClr w14:val="tx1"/>
            </w14:solidFill>
          </w14:textFill>
        </w:rPr>
        <w:t>即中心城区，作为全县的政治、经济、交通和文化中心，按照“一带贯通、三区融合”的基本思路，优化城市生产、生活、生态空间布局，完善城市功能，提升城市品质，提高城区对全县及周边区域的集聚辐射能力。</w:t>
      </w:r>
    </w:p>
    <w:p>
      <w:pPr>
        <w:ind w:firstLine="643"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四心。</w:t>
      </w:r>
      <w:r>
        <w:rPr>
          <w:rFonts w:hint="eastAsia" w:ascii="仿宋_GB2312" w:hAnsi="华文仿宋" w:eastAsia="仿宋_GB2312"/>
          <w:color w:val="000000" w:themeColor="text1"/>
          <w:sz w:val="32"/>
          <w:szCs w:val="32"/>
          <w14:textFill>
            <w14:solidFill>
              <w14:schemeClr w14:val="tx1"/>
            </w14:solidFill>
          </w14:textFill>
        </w:rPr>
        <w:t>即北关镇、孙六镇、人和镇、龙塘镇，作为全县的中心镇，科学开展规划建设，加快中心镇建设与特色产业发展相结合，与乡村振兴相结合，推动乡镇工业园、返乡创业园与镇区融合发展，加强镇区基础设施和公共服务设施建设，引导人口向镇区集聚。</w:t>
      </w:r>
    </w:p>
    <w:p>
      <w:pPr>
        <w:ind w:firstLine="643"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多点。</w:t>
      </w:r>
      <w:r>
        <w:rPr>
          <w:rFonts w:hint="eastAsia" w:ascii="仿宋_GB2312" w:hAnsi="华文仿宋" w:eastAsia="仿宋_GB2312"/>
          <w:color w:val="000000" w:themeColor="text1"/>
          <w:sz w:val="32"/>
          <w:szCs w:val="32"/>
          <w14:textFill>
            <w14:solidFill>
              <w14:schemeClr w14:val="tx1"/>
            </w14:solidFill>
          </w14:textFill>
        </w:rPr>
        <w:t>即程庄、王庄寨、白云寺、王桥、庄子、双塔、野岗、伯党、花园、林七、老颜集、胡集和褚庙等13个乡镇节点。统筹推进全县小城镇建设，发展乡镇特色优势产业，提升镇区功能，把镇区建设成服务周边农民的生产生活中心。</w:t>
      </w:r>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112" w:name="_Toc71192398"/>
      <w:r>
        <w:rPr>
          <w:rFonts w:hint="eastAsia" w:ascii="Times New Roman" w:hAnsi="Times New Roman" w:eastAsia="楷体"/>
          <w:bCs w:val="0"/>
          <w:color w:val="000000" w:themeColor="text1"/>
          <w:szCs w:val="20"/>
          <w14:textFill>
            <w14:solidFill>
              <w14:schemeClr w14:val="tx1"/>
            </w14:solidFill>
          </w14:textFill>
        </w:rPr>
        <w:t>第二节 提升中心城区建设质量</w:t>
      </w:r>
      <w:bookmarkEnd w:id="112"/>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统筹城市规划、建设和管理，持续深入推进百城建设提质工程，增强综合承载能力，改善城市建设品质，加强城市精细化管理，建设绿色、美丽、宜居、智慧城市，</w:t>
      </w:r>
      <w:r>
        <w:rPr>
          <w:rFonts w:hint="eastAsia" w:ascii="仿宋_GB2312" w:eastAsia="仿宋_GB2312"/>
          <w:color w:val="000000" w:themeColor="text1"/>
          <w:sz w:val="32"/>
          <w:szCs w:val="32"/>
          <w14:textFill>
            <w14:solidFill>
              <w14:schemeClr w14:val="tx1"/>
            </w14:solidFill>
          </w14:textFill>
        </w:rPr>
        <w:t>形成主城区、高新区、特色商业区相互支撑的高质量发展主阵地。</w:t>
      </w:r>
    </w:p>
    <w:p>
      <w:pPr>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加强城乡规划引领。</w:t>
      </w:r>
      <w:r>
        <w:rPr>
          <w:rFonts w:hint="eastAsia" w:ascii="仿宋_GB2312" w:hAnsi="仿宋" w:eastAsia="仿宋_GB2312"/>
          <w:color w:val="000000" w:themeColor="text1"/>
          <w:sz w:val="32"/>
          <w:szCs w:val="32"/>
          <w14:textFill>
            <w14:solidFill>
              <w14:schemeClr w14:val="tx1"/>
            </w14:solidFill>
          </w14:textFill>
        </w:rPr>
        <w:t>深入推进“多规合一”，完成全县国土空间规划编制，科学划定“三区三线”，</w:t>
      </w:r>
      <w:r>
        <w:rPr>
          <w:rFonts w:hint="eastAsia" w:ascii="仿宋_GB2312" w:hAnsi="仿宋" w:eastAsia="仿宋_GB2312" w:cs="仿宋"/>
          <w:color w:val="000000" w:themeColor="text1"/>
          <w:sz w:val="32"/>
          <w:szCs w:val="32"/>
          <w14:textFill>
            <w14:solidFill>
              <w14:schemeClr w14:val="tx1"/>
            </w14:solidFill>
          </w14:textFill>
        </w:rPr>
        <w:t>明确城镇开发边界。</w:t>
      </w:r>
      <w:r>
        <w:rPr>
          <w:rFonts w:hint="eastAsia" w:ascii="仿宋_GB2312" w:hAnsi="仿宋" w:eastAsia="仿宋_GB2312"/>
          <w:color w:val="000000" w:themeColor="text1"/>
          <w:sz w:val="32"/>
          <w:szCs w:val="32"/>
          <w14:textFill>
            <w14:solidFill>
              <w14:schemeClr w14:val="tx1"/>
            </w14:solidFill>
          </w14:textFill>
        </w:rPr>
        <w:t>开展“六线”专项规划编制，加快基础设施、公共设施项目规划设计，严格按照给水、排水、燃气、热力等专项规划实施项目建设。推行城市设计，加强对重点区域、重点地段空间形态、建筑体量、风貌特色、交通组织等的规划引导，传承传统文化和建筑风格，加强标志性建筑设计，打造城市亮点、特色街区和精品建筑。积极开展乡镇国土空间规划和村庄规划，逐步实现乡镇全覆盖。</w:t>
      </w:r>
    </w:p>
    <w:p>
      <w:pPr>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增强城区综合承载能力。</w:t>
      </w:r>
      <w:r>
        <w:rPr>
          <w:rFonts w:hint="eastAsia" w:ascii="仿宋_GB2312" w:hAnsi="仿宋" w:eastAsia="仿宋_GB2312"/>
          <w:color w:val="000000" w:themeColor="text1"/>
          <w:sz w:val="32"/>
          <w:szCs w:val="32"/>
          <w14:textFill>
            <w14:solidFill>
              <w14:schemeClr w14:val="tx1"/>
            </w14:solidFill>
          </w14:textFill>
        </w:rPr>
        <w:t>以基础设施扩容提质，公共服务均衡配置和新型基础设施建设为抓手，全面提升中心城区经济和人口综合承载能力。完善城区道路网络，改造提升城区路面质量，打通双塔路（县直幼儿园至中山大道段）、工农路东段、淮海路等“断头路”，改善老城区道路状况。加强城区公共停车场建设，优化公交线路布局，加密公交站点。改造提升城区供水管网，推进排污管网建设，全面实施雨污分流，拓展完善燃气管网，建设集中供热管网和热力交换站，完成弱电入地，推进海绵城市建设。补齐公共服务设施短板，优化城区中、小学校布局，推进美术馆、图书馆等场馆建设，完成工人文化宫、市民之家等公共服务设施项目。配套建设超市、农贸市场、养老托幼设施、银行网点等生活服务设施，提升县城在全县发展中的引领和辐射带动作用，不断增强县城中心区对全县及周边地区人口的吸引力。</w:t>
      </w:r>
    </w:p>
    <w:p>
      <w:pPr>
        <w:ind w:firstLine="643" w:firstLineChars="200"/>
        <w:rPr>
          <w:rFonts w:ascii="仿宋_GB2312" w:hAnsi="仿宋" w:eastAsia="仿宋_GB2312"/>
          <w:color w:val="000000"/>
          <w:sz w:val="32"/>
          <w:szCs w:val="32"/>
        </w:rPr>
      </w:pPr>
      <w:r>
        <w:rPr>
          <w:rFonts w:hint="eastAsia" w:ascii="仿宋_GB2312" w:hAnsi="仿宋" w:eastAsia="仿宋_GB2312"/>
          <w:b/>
          <w:color w:val="000000"/>
          <w:sz w:val="32"/>
          <w:szCs w:val="32"/>
        </w:rPr>
        <w:t>提升城市建设品质。</w:t>
      </w:r>
      <w:r>
        <w:rPr>
          <w:rFonts w:hint="eastAsia" w:ascii="仿宋_GB2312" w:hAnsi="仿宋" w:eastAsia="仿宋_GB2312"/>
          <w:color w:val="000000"/>
          <w:sz w:val="32"/>
          <w:szCs w:val="32"/>
        </w:rPr>
        <w:t>推进百城建设提质工程，全面推进景观水系、园林绿化、垃圾清运等设施建设。持续开展景观水系连通工程，三年内实现城区水系连通，实施河道清淤、驳岸改造、道路绿化、景观小品营造等工程，丰富休闲、游览、健身等功能。改善城区水环境，打造“水清、水通、水亲、岸美”的健康水生态系统，打造行洪排涝安全、生态环境优良、人与自然和谐的生态城市。开展园林绿化提质工程，围绕国家园林县城复验和国家生态园林城市创建目标，持续推进重点绿化工程建设，加强滨水岸线绿化、道路景观绿化建设，开展园林式单位创建活动，实施破墙透绿工程，打造立体绿化格局。不断推进城市更新行动，强化党建引领、综合设计、集体研究，对符合条件的老旧小区实行“一区一策”改造，完善老旧小区周边基础设施和公共服务设施，全面提高居住品质。对其他居住小区从环境、物业、生活秩序、文明意识等方面改善居住环境。健全社区卫生、体育、养老托育、公共活动、停车场等配套设施。改造提升现有公厕标准，新建一批公厕。改造、提升、新建一批生活垃圾中转站，增强收运能力，建设垃圾分类投放、收集、运输和处置体系。</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rPr>
                <w:rFonts w:ascii="黑体" w:hAnsi="黑体" w:eastAsia="黑体"/>
                <w:color w:val="000000" w:themeColor="text1"/>
                <w:kern w:val="0"/>
                <w:sz w:val="24"/>
                <w:szCs w:val="24"/>
                <w14:textFill>
                  <w14:solidFill>
                    <w14:schemeClr w14:val="tx1"/>
                  </w14:solidFill>
                </w14:textFill>
              </w:rPr>
            </w:pPr>
            <w:r>
              <w:rPr>
                <w:rFonts w:ascii="黑体" w:hAnsi="黑体" w:eastAsia="黑体"/>
                <w:color w:val="000000" w:themeColor="text1"/>
                <w:kern w:val="0"/>
                <w:sz w:val="24"/>
                <w:szCs w:val="24"/>
                <w14:textFill>
                  <w14:solidFill>
                    <w14:schemeClr w14:val="tx1"/>
                  </w14:solidFill>
                </w14:textFill>
              </w:rPr>
              <w:t>专栏</w:t>
            </w:r>
            <w:r>
              <w:rPr>
                <w:rFonts w:hint="eastAsia" w:ascii="黑体" w:hAnsi="黑体" w:eastAsia="黑体"/>
                <w:color w:val="000000" w:themeColor="text1"/>
                <w:kern w:val="0"/>
                <w:sz w:val="24"/>
                <w:szCs w:val="24"/>
                <w14:textFill>
                  <w14:solidFill>
                    <w14:schemeClr w14:val="tx1"/>
                  </w14:solidFill>
                </w14:textFill>
              </w:rPr>
              <w:t>8-1：中心城区提升工程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ind w:firstLine="422" w:firstLineChars="200"/>
              <w:rPr>
                <w:rFonts w:ascii="宋体" w:hAnsi="宋体"/>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城市道路升级改造和修复：</w:t>
            </w:r>
            <w:r>
              <w:rPr>
                <w:rFonts w:hint="eastAsia" w:ascii="宋体" w:hAnsi="宋体"/>
                <w:color w:val="000000" w:themeColor="text1"/>
                <w:kern w:val="0"/>
                <w:szCs w:val="21"/>
                <w14:textFill>
                  <w14:solidFill>
                    <w14:schemeClr w14:val="tx1"/>
                  </w14:solidFill>
                </w14:textFill>
              </w:rPr>
              <w:t>科研路东延至中山大道工程，中山大道北延至机场大道，博爱路北延工程，商城路面升级改造工程，新建丁香路、枫杨路、鲲鹏路等城市主、次干路及支路共计31条。博爱路、向阳路、安澜路、迎宾大道等道路绿化及配套设施工程，车站北路北延和绿化工程。</w:t>
            </w:r>
          </w:p>
          <w:p>
            <w:pPr>
              <w:ind w:firstLine="422" w:firstLineChars="200"/>
              <w:rPr>
                <w:rFonts w:ascii="宋体" w:hAnsi="宋体"/>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排水管网及设施建设：</w:t>
            </w:r>
            <w:r>
              <w:rPr>
                <w:rFonts w:hint="eastAsia" w:ascii="宋体" w:hAnsi="宋体"/>
                <w:color w:val="000000" w:themeColor="text1"/>
                <w:kern w:val="0"/>
                <w:szCs w:val="21"/>
                <w14:textFill>
                  <w14:solidFill>
                    <w14:schemeClr w14:val="tx1"/>
                  </w14:solidFill>
                </w14:textFill>
              </w:rPr>
              <w:t>新建和改造14条道路雨水管网工程，老城区排水管网改造，县污水处理厂提标改造项目等。</w:t>
            </w:r>
          </w:p>
          <w:p>
            <w:pPr>
              <w:ind w:firstLine="422" w:firstLineChars="200"/>
              <w:rPr>
                <w:rFonts w:ascii="宋体" w:hAnsi="宋体"/>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新型基础设施建设：</w:t>
            </w:r>
            <w:r>
              <w:rPr>
                <w:rFonts w:hint="eastAsia" w:ascii="宋体" w:hAnsi="宋体"/>
                <w:color w:val="000000" w:themeColor="text1"/>
                <w:kern w:val="0"/>
                <w:szCs w:val="21"/>
                <w14:textFill>
                  <w14:solidFill>
                    <w14:schemeClr w14:val="tx1"/>
                  </w14:solidFill>
                </w14:textFill>
              </w:rPr>
              <w:t>新建充电桩1000个，换电站10座。</w:t>
            </w:r>
          </w:p>
          <w:p>
            <w:pPr>
              <w:ind w:firstLine="422" w:firstLineChars="200"/>
              <w:rPr>
                <w:rFonts w:ascii="宋体" w:hAnsi="宋体"/>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城市生态水系工程：</w:t>
            </w:r>
            <w:r>
              <w:rPr>
                <w:rFonts w:hint="eastAsia" w:ascii="宋体" w:hAnsi="宋体"/>
                <w:color w:val="000000" w:themeColor="text1"/>
                <w:kern w:val="0"/>
                <w:szCs w:val="21"/>
                <w14:textFill>
                  <w14:solidFill>
                    <w14:schemeClr w14:val="tx1"/>
                  </w14:solidFill>
                </w14:textFill>
              </w:rPr>
              <w:t>大沙河东侧、西湖公园、民生河、东区景观河等景观水系建设；秋水河、东沙河、民生河（迎宾大道至大沙河段）、清水河（车站北路至商城路段）、梦水河、新生河（老城干渠至大沙河段）、胜利河（老城干渠至大沙河段）等河湖生态修复和岸线治理工程；县调蓄泄洪人工湖项目建设；安澜湖和安澜湿地公园建设。</w:t>
            </w:r>
          </w:p>
          <w:p>
            <w:pPr>
              <w:ind w:firstLine="422" w:firstLineChars="200"/>
              <w:rPr>
                <w:rFonts w:ascii="宋体" w:hAnsi="宋体"/>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公共停车场：</w:t>
            </w:r>
            <w:r>
              <w:rPr>
                <w:rFonts w:hint="eastAsia" w:ascii="宋体" w:hAnsi="宋体"/>
                <w:color w:val="000000" w:themeColor="text1"/>
                <w:kern w:val="0"/>
                <w:szCs w:val="21"/>
                <w14:textFill>
                  <w14:solidFill>
                    <w14:schemeClr w14:val="tx1"/>
                  </w14:solidFill>
                </w14:textFill>
              </w:rPr>
              <w:t>新建高铁站、民主路与科研路交叉口、东沙河东秋水路北人民路南地下1层、庄子广场地下2层、交警大队东侧地下2层地上2层等公共停车场（建设内容为停车场建设和配套附属设施建设）。</w:t>
            </w:r>
          </w:p>
          <w:p>
            <w:pPr>
              <w:ind w:firstLine="422" w:firstLineChars="200"/>
              <w:rPr>
                <w:rFonts w:ascii="宋体" w:hAnsi="宋体"/>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公共服务设施：</w:t>
            </w:r>
            <w:r>
              <w:rPr>
                <w:rFonts w:hint="eastAsia" w:ascii="宋体" w:hAnsi="宋体"/>
                <w:color w:val="000000" w:themeColor="text1"/>
                <w:kern w:val="0"/>
                <w:szCs w:val="21"/>
                <w14:textFill>
                  <w14:solidFill>
                    <w14:schemeClr w14:val="tx1"/>
                  </w14:solidFill>
                </w14:textFill>
              </w:rPr>
              <w:t>完成人民医院新院区、工人文化宫，市民之家工程；建设美术馆、图书馆、博物馆、城市避难场所。</w:t>
            </w:r>
          </w:p>
          <w:p>
            <w:pPr>
              <w:ind w:firstLine="422" w:firstLineChars="200"/>
              <w:rPr>
                <w:rFonts w:ascii="宋体" w:hAnsi="宋体"/>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农贸市场：</w:t>
            </w:r>
            <w:r>
              <w:rPr>
                <w:rFonts w:hint="eastAsia" w:ascii="宋体" w:hAnsi="宋体"/>
                <w:color w:val="000000" w:themeColor="text1"/>
                <w:kern w:val="0"/>
                <w:szCs w:val="21"/>
                <w14:textFill>
                  <w14:solidFill>
                    <w14:schemeClr w14:val="tx1"/>
                  </w14:solidFill>
                </w14:textFill>
              </w:rPr>
              <w:t>新建民睢路东侧新农汇便民市场，绿洲路东侧、嵩山路南侧农贸市场，人民路南侧、消防南路西侧农贸市场，车站南路和民生河交叉口农贸市场等工程。</w:t>
            </w:r>
          </w:p>
          <w:p>
            <w:pPr>
              <w:ind w:firstLine="422" w:firstLineChars="200"/>
              <w:rPr>
                <w:rFonts w:ascii="宋体" w:hAnsi="宋体"/>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垃圾收运工程：</w:t>
            </w:r>
            <w:r>
              <w:rPr>
                <w:rFonts w:hint="eastAsia" w:ascii="宋体" w:hAnsi="宋体"/>
                <w:color w:val="000000" w:themeColor="text1"/>
                <w:kern w:val="0"/>
                <w:szCs w:val="21"/>
                <w14:textFill>
                  <w14:solidFill>
                    <w14:schemeClr w14:val="tx1"/>
                  </w14:solidFill>
                </w14:textFill>
              </w:rPr>
              <w:t>对现有垃圾中转站改扩建，新建垃圾中转站19座，高新区生活垃圾填埋场封场及生态修复等相关工程。</w:t>
            </w:r>
          </w:p>
          <w:p>
            <w:pPr>
              <w:ind w:firstLine="422" w:firstLineChars="200"/>
              <w:rPr>
                <w:rFonts w:ascii="仿宋" w:hAnsi="仿宋" w:eastAsia="仿宋"/>
                <w:color w:val="000000" w:themeColor="text1"/>
                <w:kern w:val="0"/>
                <w:sz w:val="24"/>
                <w:szCs w:val="24"/>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公共厕所建设：</w:t>
            </w:r>
            <w:r>
              <w:rPr>
                <w:rFonts w:hint="eastAsia" w:ascii="宋体" w:hAnsi="宋体"/>
                <w:color w:val="000000" w:themeColor="text1"/>
                <w:kern w:val="0"/>
                <w:szCs w:val="21"/>
                <w14:textFill>
                  <w14:solidFill>
                    <w14:schemeClr w14:val="tx1"/>
                  </w14:solidFill>
                </w14:textFill>
              </w:rPr>
              <w:t>中心城区改建、改造公厕45座，大沙河、民生河、清水河、西湖、安澜湿地新建公厕15座。</w:t>
            </w:r>
          </w:p>
        </w:tc>
      </w:tr>
    </w:tbl>
    <w:p>
      <w:pPr>
        <w:ind w:firstLine="643" w:firstLineChars="200"/>
        <w:rPr>
          <w:rFonts w:ascii="仿宋_GB2312" w:hAnsi="仿宋" w:eastAsia="仿宋_GB2312"/>
          <w:b/>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推进高新区产城融合。</w:t>
      </w:r>
      <w:r>
        <w:rPr>
          <w:rFonts w:hint="eastAsia" w:ascii="仿宋_GB2312" w:hAnsi="仿宋" w:eastAsia="仿宋_GB2312"/>
          <w:color w:val="000000" w:themeColor="text1"/>
          <w:sz w:val="32"/>
          <w:szCs w:val="32"/>
          <w14:textFill>
            <w14:solidFill>
              <w14:schemeClr w14:val="tx1"/>
            </w14:solidFill>
          </w14:textFill>
        </w:rPr>
        <w:t>树立“以亩产论英雄”的高质量发展理念，推进产业集聚区“二次创业”，实施聚链、延链、补链、强链工程，提升以制冷设备为主导的装备制造业，振兴以葡萄酒为主的食品加工业，发展新兴铝精深加工产业，培育电子信息产业，打造国家级高新区。完善区内道路、供水、排水、绿化和亮化等基础设施建设，推进供气、供暖管网建设，加快推进员工公寓和高层次人才公寓建设，建设一批职工住房，提升高新区居住、交通、服务、游憩功能，打造“产城融合”示范区。</w:t>
      </w:r>
    </w:p>
    <w:p>
      <w:pPr>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建设精品特色商业区。</w:t>
      </w:r>
      <w:r>
        <w:rPr>
          <w:rFonts w:hint="eastAsia" w:ascii="仿宋_GB2312" w:hAnsi="仿宋" w:eastAsia="仿宋_GB2312"/>
          <w:color w:val="000000" w:themeColor="text1"/>
          <w:sz w:val="32"/>
          <w:szCs w:val="32"/>
          <w14:textFill>
            <w14:solidFill>
              <w14:schemeClr w14:val="tx1"/>
            </w14:solidFill>
          </w14:textFill>
        </w:rPr>
        <w:t>优化特色商业区空间格局，形成主题鲜明的功能空间，打造会展经济创新区、特色文化体验区、时尚休闲娱乐区、高端商务商业区。会展经济创新区以梦蝶会展中心为核心区域，配套建设物流、电商、住宿餐饮等配套服务，建成在业界具有一定影响力的会展经济产业基地。特色文化体验区着重打造葡萄酒风情街、葡萄酒展示品鉴中心、葡萄酒博物馆等，突出区域特色文化和旅游景观营造，打造文商旅一体化的特色商业区。时尚休闲娱乐区重点发展与特色文化体验相融合的休闲娱乐业。高端商务商业区以总部经济、跨境电商、电子商务为主导，配套完善宾馆酒店、产品展示、商贸超市等服务功能。</w:t>
      </w:r>
    </w:p>
    <w:p>
      <w:pPr>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推进城市精细化管理。</w:t>
      </w:r>
      <w:r>
        <w:rPr>
          <w:rFonts w:hint="eastAsia" w:ascii="仿宋_GB2312" w:hAnsi="仿宋" w:eastAsia="仿宋_GB2312"/>
          <w:color w:val="000000" w:themeColor="text1"/>
          <w:sz w:val="32"/>
          <w:szCs w:val="32"/>
          <w14:textFill>
            <w14:solidFill>
              <w14:schemeClr w14:val="tx1"/>
            </w14:solidFill>
          </w14:textFill>
        </w:rPr>
        <w:t>坚持标准化、精细化、网格化、动态化和法制化思路，完善城市管理制度，以国家卫生城市创建为主攻方向，美化城市环境，提升城市形象。加强市政设施养护，维修老旧、损毁路面，加强消防设施、停车泊位、交通标识等维护。实施亮化提升工程，加强城区道路及景观照明更新维护，亮化街景路貌。加强市容市貌治理，引导城市“地摊经济”“夜间经济”规范有序发展，严格治理私搭乱建、流动摊贩等不良行为。持续开展“六车联动”环卫作业模式，推行全天候保洁。全面消除黑臭水体，防治工地扬尘，规范渣土车辆运营，加强餐饮油烟治理。强化城市安全管理，提高城市综合防灾和安全设施保障水平，完善防洪排涝、公共卫生等突发事件应急指挥系统，加强城市应急管理体系建设。提升城管执法水平，加强城管队伍建设，加强数字城管、视频监控等设施设备更新。完成绿洲、南华街道村改居工作。健全社区管理和服务体系，完善社区居委会服务管理职能，推进就业社保、养老托育、扶残助残、医疗卫生、家政服务、纠纷调处等便民服务有机融合和精准对接，提高城市社区服务管理精准化精细化。</w:t>
      </w:r>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113" w:name="_Toc71192399"/>
      <w:r>
        <w:rPr>
          <w:rFonts w:hint="eastAsia" w:ascii="Times New Roman" w:hAnsi="Times New Roman" w:eastAsia="楷体"/>
          <w:bCs w:val="0"/>
          <w:color w:val="000000" w:themeColor="text1"/>
          <w:szCs w:val="20"/>
          <w14:textFill>
            <w14:solidFill>
              <w14:schemeClr w14:val="tx1"/>
            </w14:solidFill>
          </w14:textFill>
        </w:rPr>
        <w:t>第三节 提升小城镇节点功能</w:t>
      </w:r>
      <w:bookmarkEnd w:id="113"/>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统筹国家</w:t>
      </w:r>
      <w:r>
        <w:rPr>
          <w:rFonts w:ascii="仿宋_GB2312" w:hAnsi="仿宋" w:eastAsia="仿宋_GB2312"/>
          <w:color w:val="000000" w:themeColor="text1"/>
          <w:sz w:val="32"/>
          <w:szCs w:val="32"/>
          <w14:textFill>
            <w14:solidFill>
              <w14:schemeClr w14:val="tx1"/>
            </w14:solidFill>
          </w14:textFill>
        </w:rPr>
        <w:t>级重点镇</w:t>
      </w: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县域中心镇提升提质和小城镇发展，</w:t>
      </w:r>
      <w:r>
        <w:rPr>
          <w:rFonts w:hint="eastAsia" w:ascii="仿宋_GB2312" w:hAnsi="仿宋" w:eastAsia="仿宋_GB2312"/>
          <w:color w:val="000000" w:themeColor="text1"/>
          <w:sz w:val="32"/>
          <w:szCs w:val="32"/>
          <w14:textFill>
            <w14:solidFill>
              <w14:schemeClr w14:val="tx1"/>
            </w14:solidFill>
          </w14:textFill>
        </w:rPr>
        <w:t>壮大</w:t>
      </w:r>
      <w:r>
        <w:rPr>
          <w:rFonts w:ascii="仿宋_GB2312" w:hAnsi="仿宋" w:eastAsia="仿宋_GB2312"/>
          <w:color w:val="000000" w:themeColor="text1"/>
          <w:sz w:val="32"/>
          <w:szCs w:val="32"/>
          <w14:textFill>
            <w14:solidFill>
              <w14:schemeClr w14:val="tx1"/>
            </w14:solidFill>
          </w14:textFill>
        </w:rPr>
        <w:t>乡镇特色产业，打造特色产业强镇，提升镇区功能，引导人口向镇区</w:t>
      </w:r>
      <w:r>
        <w:rPr>
          <w:rFonts w:hint="eastAsia" w:ascii="仿宋_GB2312" w:hAnsi="仿宋" w:eastAsia="仿宋_GB2312"/>
          <w:color w:val="000000" w:themeColor="text1"/>
          <w:sz w:val="32"/>
          <w:szCs w:val="32"/>
          <w14:textFill>
            <w14:solidFill>
              <w14:schemeClr w14:val="tx1"/>
            </w14:solidFill>
          </w14:textFill>
        </w:rPr>
        <w:t>集中</w:t>
      </w:r>
      <w:r>
        <w:rPr>
          <w:rFonts w:ascii="仿宋_GB2312" w:hAnsi="仿宋" w:eastAsia="仿宋_GB2312"/>
          <w:color w:val="000000" w:themeColor="text1"/>
          <w:sz w:val="32"/>
          <w:szCs w:val="32"/>
          <w14:textFill>
            <w14:solidFill>
              <w14:schemeClr w14:val="tx1"/>
            </w14:solidFill>
          </w14:textFill>
        </w:rPr>
        <w:t>，把乡镇建成服务</w:t>
      </w:r>
      <w:r>
        <w:rPr>
          <w:rFonts w:hint="eastAsia" w:ascii="仿宋_GB2312" w:hAnsi="仿宋" w:eastAsia="仿宋_GB2312"/>
          <w:color w:val="000000" w:themeColor="text1"/>
          <w:sz w:val="32"/>
          <w:szCs w:val="32"/>
          <w14:textFill>
            <w14:solidFill>
              <w14:schemeClr w14:val="tx1"/>
            </w14:solidFill>
          </w14:textFill>
        </w:rPr>
        <w:t>农民</w:t>
      </w:r>
      <w:r>
        <w:rPr>
          <w:rFonts w:ascii="仿宋_GB2312" w:hAnsi="仿宋" w:eastAsia="仿宋_GB2312"/>
          <w:color w:val="000000" w:themeColor="text1"/>
          <w:sz w:val="32"/>
          <w:szCs w:val="32"/>
          <w14:textFill>
            <w14:solidFill>
              <w14:schemeClr w14:val="tx1"/>
            </w14:solidFill>
          </w14:textFill>
        </w:rPr>
        <w:t>的中心。</w:t>
      </w:r>
    </w:p>
    <w:p>
      <w:pPr>
        <w:ind w:firstLine="643" w:firstLineChars="200"/>
        <w:rPr>
          <w:rFonts w:ascii="仿宋_GB2312" w:hAnsi="仿宋" w:eastAsia="仿宋_GB2312"/>
          <w:b/>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夯实重点镇和中心镇。</w:t>
      </w:r>
      <w:r>
        <w:rPr>
          <w:rFonts w:hint="eastAsia" w:ascii="仿宋_GB2312" w:hAnsi="仿宋" w:eastAsia="仿宋_GB2312"/>
          <w:color w:val="000000" w:themeColor="text1"/>
          <w:sz w:val="32"/>
          <w:szCs w:val="32"/>
          <w14:textFill>
            <w14:solidFill>
              <w14:schemeClr w14:val="tx1"/>
            </w14:solidFill>
          </w14:textFill>
        </w:rPr>
        <w:t>以产业能级提升、镇区功能完善为重点，夯实北关、孙六、人和、龙塘等国家级重点镇和民权中心镇地位。推进孙六工业园绿色转型发展，打造循环经济产业园。加快建设北关返乡创业园，有序推进镇区国有建设用地招牌挂出让，推动小考城项目，进一步做强镇区，强化商贸流通中心优势，建设农、工、商、文、旅产业高质量发展示范镇。巩固提升</w:t>
      </w:r>
      <w:r>
        <w:rPr>
          <w:rFonts w:ascii="仿宋_GB2312" w:hAnsi="仿宋" w:eastAsia="仿宋_GB2312"/>
          <w:color w:val="000000" w:themeColor="text1"/>
          <w:sz w:val="32"/>
          <w:szCs w:val="32"/>
          <w14:textFill>
            <w14:solidFill>
              <w14:schemeClr w14:val="tx1"/>
            </w14:solidFill>
          </w14:textFill>
        </w:rPr>
        <w:t>人和省级美丽小镇创建成果</w:t>
      </w:r>
      <w:r>
        <w:rPr>
          <w:rFonts w:hint="eastAsia" w:ascii="仿宋_GB2312" w:hAnsi="仿宋" w:eastAsia="仿宋_GB2312"/>
          <w:color w:val="000000" w:themeColor="text1"/>
          <w:sz w:val="32"/>
          <w:szCs w:val="32"/>
          <w14:textFill>
            <w14:solidFill>
              <w14:schemeClr w14:val="tx1"/>
            </w14:solidFill>
          </w14:textFill>
        </w:rPr>
        <w:t>，优化镇区路网结构，谋划推进310国道镇区段外迁改道和客货分流，加强镇区老旧路面改造，推进排水管网、弱电入地、5G网络等基础设施建设，加强公厕、文化广场、公园等公共服务设施建设。扩大龙塘艾草、樱桃等特色种植规模，谋划建设现代农业产业园，打造艾草小镇。推进乡镇工业园同镇区融合发展，扩大就业岗位，吸引农村人口向镇区集中。</w:t>
      </w:r>
    </w:p>
    <w:p>
      <w:pPr>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建设一批特色镇。</w:t>
      </w:r>
      <w:r>
        <w:rPr>
          <w:rFonts w:hint="eastAsia" w:ascii="仿宋_GB2312" w:hAnsi="仿宋" w:eastAsia="仿宋_GB2312"/>
          <w:color w:val="000000" w:themeColor="text1"/>
          <w:sz w:val="32"/>
          <w:szCs w:val="32"/>
          <w14:textFill>
            <w14:solidFill>
              <w14:schemeClr w14:val="tx1"/>
            </w14:solidFill>
          </w14:textFill>
        </w:rPr>
        <w:t>支持林七、褚庙等有条件的乡撤乡设镇，推动花园撤乡设办。优化乡镇功能定位，突出培育孙六、龙塘等工业乡镇，人和、北关等商贸乡镇，庄子、白云寺等文化旅游乡镇，王桥、王庄寨、双塔、野岗、伯党等特色农业乡镇，着力提升乡镇特色产业支撑和辐射带动能力，打造一批工业大镇、商贸重镇、旅游名镇和农业强镇。优化提升六个乡镇工业园，支持双塔西部工业园、北关返乡创业园建设，引导有条件的乡镇发展小型工业园、返乡创业园，有效引导有技术、人脉、资金、市场等资源的外出务工人员返乡入乡创业。</w:t>
      </w:r>
    </w:p>
    <w:p>
      <w:pPr>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全面提升镇区功能。</w:t>
      </w:r>
      <w:r>
        <w:rPr>
          <w:rFonts w:ascii="仿宋_GB2312" w:hAnsi="仿宋" w:eastAsia="仿宋_GB2312"/>
          <w:color w:val="000000" w:themeColor="text1"/>
          <w:sz w:val="32"/>
          <w:szCs w:val="32"/>
          <w14:textFill>
            <w14:solidFill>
              <w14:schemeClr w14:val="tx1"/>
            </w14:solidFill>
          </w14:textFill>
        </w:rPr>
        <w:t>加强镇区道路、供水、排水、污水处理、</w:t>
      </w:r>
      <w:r>
        <w:rPr>
          <w:rFonts w:hint="eastAsia" w:ascii="仿宋_GB2312" w:hAnsi="仿宋" w:eastAsia="仿宋_GB2312"/>
          <w:color w:val="000000" w:themeColor="text1"/>
          <w:sz w:val="32"/>
          <w:szCs w:val="32"/>
          <w14:textFill>
            <w14:solidFill>
              <w14:schemeClr w14:val="tx1"/>
            </w14:solidFill>
          </w14:textFill>
        </w:rPr>
        <w:t>燃</w:t>
      </w:r>
      <w:r>
        <w:rPr>
          <w:rFonts w:ascii="仿宋_GB2312" w:hAnsi="仿宋" w:eastAsia="仿宋_GB2312"/>
          <w:color w:val="000000" w:themeColor="text1"/>
          <w:sz w:val="32"/>
          <w:szCs w:val="32"/>
          <w14:textFill>
            <w14:solidFill>
              <w14:schemeClr w14:val="tx1"/>
            </w14:solidFill>
          </w14:textFill>
        </w:rPr>
        <w:t>气、通信、垃圾转运</w:t>
      </w: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停车场等</w:t>
      </w:r>
      <w:r>
        <w:rPr>
          <w:rFonts w:hint="eastAsia" w:ascii="仿宋_GB2312" w:hAnsi="仿宋" w:eastAsia="仿宋_GB2312"/>
          <w:color w:val="000000" w:themeColor="text1"/>
          <w:sz w:val="32"/>
          <w:szCs w:val="32"/>
          <w14:textFill>
            <w14:solidFill>
              <w14:schemeClr w14:val="tx1"/>
            </w14:solidFill>
          </w14:textFill>
        </w:rPr>
        <w:t>基础设施</w:t>
      </w:r>
      <w:r>
        <w:rPr>
          <w:rFonts w:ascii="仿宋_GB2312" w:hAnsi="仿宋" w:eastAsia="仿宋_GB2312"/>
          <w:color w:val="000000" w:themeColor="text1"/>
          <w:sz w:val="32"/>
          <w:szCs w:val="32"/>
          <w14:textFill>
            <w14:solidFill>
              <w14:schemeClr w14:val="tx1"/>
            </w14:solidFill>
          </w14:textFill>
        </w:rPr>
        <w:t>建设</w:t>
      </w:r>
      <w:r>
        <w:rPr>
          <w:rFonts w:hint="eastAsia" w:ascii="仿宋_GB2312" w:hAnsi="仿宋" w:eastAsia="仿宋_GB2312"/>
          <w:color w:val="000000" w:themeColor="text1"/>
          <w:sz w:val="32"/>
          <w:szCs w:val="32"/>
          <w14:textFill>
            <w14:solidFill>
              <w14:schemeClr w14:val="tx1"/>
            </w14:solidFill>
          </w14:textFill>
        </w:rPr>
        <w:t>。推进镇区污水处理设施扩容改造，提升日处理能力，推进镇区污水管网向农村延伸</w:t>
      </w:r>
      <w:r>
        <w:rPr>
          <w:rFonts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改善</w:t>
      </w:r>
      <w:r>
        <w:rPr>
          <w:rFonts w:ascii="仿宋_GB2312" w:hAnsi="仿宋" w:eastAsia="仿宋_GB2312"/>
          <w:color w:val="000000" w:themeColor="text1"/>
          <w:sz w:val="32"/>
          <w:szCs w:val="32"/>
          <w14:textFill>
            <w14:solidFill>
              <w14:schemeClr w14:val="tx1"/>
            </w14:solidFill>
          </w14:textFill>
        </w:rPr>
        <w:t>镇区人居环境，</w:t>
      </w:r>
      <w:r>
        <w:rPr>
          <w:rFonts w:hint="eastAsia" w:ascii="仿宋_GB2312" w:hAnsi="仿宋" w:eastAsia="仿宋_GB2312"/>
          <w:color w:val="000000" w:themeColor="text1"/>
          <w:sz w:val="32"/>
          <w:szCs w:val="32"/>
          <w14:textFill>
            <w14:solidFill>
              <w14:schemeClr w14:val="tx1"/>
            </w14:solidFill>
          </w14:textFill>
        </w:rPr>
        <w:t>疏浚河渠水系，保障生态流量，消除黑臭水体。持续做好镇区美化、绿化、亮化工程，改造临街建筑外观，在有条件的镇区建设民族、文化风情街。提升镇区道路绿化水平，完善街道两侧公共照明设施。强化镇区治理，逐步取缔马路市场，建设综合性农贸市场或专业市场。提升</w:t>
      </w:r>
      <w:r>
        <w:rPr>
          <w:rFonts w:ascii="仿宋_GB2312" w:hAnsi="仿宋" w:eastAsia="仿宋_GB2312"/>
          <w:color w:val="000000" w:themeColor="text1"/>
          <w:sz w:val="32"/>
          <w:szCs w:val="32"/>
          <w14:textFill>
            <w14:solidFill>
              <w14:schemeClr w14:val="tx1"/>
            </w14:solidFill>
          </w14:textFill>
        </w:rPr>
        <w:t>镇区教育卫生、</w:t>
      </w:r>
      <w:r>
        <w:rPr>
          <w:rFonts w:hint="eastAsia" w:ascii="仿宋_GB2312" w:hAnsi="仿宋" w:eastAsia="仿宋_GB2312"/>
          <w:color w:val="000000" w:themeColor="text1"/>
          <w:sz w:val="32"/>
          <w:szCs w:val="32"/>
          <w14:textFill>
            <w14:solidFill>
              <w14:schemeClr w14:val="tx1"/>
            </w14:solidFill>
          </w14:textFill>
        </w:rPr>
        <w:t>养老托幼</w:t>
      </w:r>
      <w:r>
        <w:rPr>
          <w:rFonts w:ascii="仿宋_GB2312" w:hAnsi="仿宋" w:eastAsia="仿宋_GB2312"/>
          <w:color w:val="000000" w:themeColor="text1"/>
          <w:sz w:val="32"/>
          <w:szCs w:val="32"/>
          <w14:textFill>
            <w14:solidFill>
              <w14:schemeClr w14:val="tx1"/>
            </w14:solidFill>
          </w14:textFill>
        </w:rPr>
        <w:t>、基层文化等基本公共服务</w:t>
      </w:r>
      <w:r>
        <w:rPr>
          <w:rFonts w:hint="eastAsia" w:ascii="仿宋_GB2312" w:hAnsi="仿宋" w:eastAsia="仿宋_GB2312"/>
          <w:color w:val="000000" w:themeColor="text1"/>
          <w:sz w:val="32"/>
          <w:szCs w:val="32"/>
          <w14:textFill>
            <w14:solidFill>
              <w14:schemeClr w14:val="tx1"/>
            </w14:solidFill>
          </w14:textFill>
        </w:rPr>
        <w:t>水平</w:t>
      </w:r>
      <w:r>
        <w:rPr>
          <w:rFonts w:ascii="仿宋_GB2312" w:hAnsi="仿宋" w:eastAsia="仿宋_GB2312"/>
          <w:color w:val="000000" w:themeColor="text1"/>
          <w:sz w:val="32"/>
          <w:szCs w:val="32"/>
          <w14:textFill>
            <w14:solidFill>
              <w14:schemeClr w14:val="tx1"/>
            </w14:solidFill>
          </w14:textFill>
        </w:rPr>
        <w:t>，构建以镇区为中心的农村居民半小时生产生活圈，形成以镇带村</w:t>
      </w: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村镇联动的发展局面。</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rPr>
                <w:rFonts w:ascii="黑体" w:hAnsi="黑体" w:eastAsia="黑体"/>
                <w:color w:val="000000" w:themeColor="text1"/>
                <w:kern w:val="0"/>
                <w:sz w:val="24"/>
                <w:szCs w:val="24"/>
                <w14:textFill>
                  <w14:solidFill>
                    <w14:schemeClr w14:val="tx1"/>
                  </w14:solidFill>
                </w14:textFill>
              </w:rPr>
            </w:pPr>
            <w:r>
              <w:rPr>
                <w:rFonts w:ascii="黑体" w:hAnsi="黑体" w:eastAsia="黑体"/>
                <w:color w:val="000000" w:themeColor="text1"/>
                <w:kern w:val="0"/>
                <w:sz w:val="24"/>
                <w:szCs w:val="24"/>
                <w14:textFill>
                  <w14:solidFill>
                    <w14:schemeClr w14:val="tx1"/>
                  </w14:solidFill>
                </w14:textFill>
              </w:rPr>
              <w:t>专栏</w:t>
            </w:r>
            <w:r>
              <w:rPr>
                <w:rFonts w:hint="eastAsia" w:ascii="黑体" w:hAnsi="黑体" w:eastAsia="黑体"/>
                <w:color w:val="000000" w:themeColor="text1"/>
                <w:kern w:val="0"/>
                <w:sz w:val="24"/>
                <w:szCs w:val="24"/>
                <w14:textFill>
                  <w14:solidFill>
                    <w14:schemeClr w14:val="tx1"/>
                  </w14:solidFill>
                </w14:textFill>
              </w:rPr>
              <w:t>8-2：镇区提升工程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ind w:firstLine="422" w:firstLineChars="200"/>
              <w:rPr>
                <w:rFonts w:ascii="宋体" w:hAnsi="宋体"/>
                <w:color w:val="000000" w:themeColor="text1"/>
                <w:kern w:val="0"/>
                <w:szCs w:val="21"/>
                <w14:textFill>
                  <w14:solidFill>
                    <w14:schemeClr w14:val="tx1"/>
                  </w14:solidFill>
                </w14:textFill>
              </w:rPr>
            </w:pPr>
            <w:r>
              <w:rPr>
                <w:rFonts w:ascii="宋体" w:hAnsi="宋体"/>
                <w:b/>
                <w:color w:val="000000" w:themeColor="text1"/>
                <w:kern w:val="0"/>
                <w:szCs w:val="21"/>
                <w14:textFill>
                  <w14:solidFill>
                    <w14:schemeClr w14:val="tx1"/>
                  </w14:solidFill>
                </w14:textFill>
              </w:rPr>
              <w:t>基础设施</w:t>
            </w:r>
            <w:r>
              <w:rPr>
                <w:rFonts w:hint="eastAsia" w:ascii="宋体" w:hAnsi="宋体"/>
                <w:b/>
                <w:color w:val="000000" w:themeColor="text1"/>
                <w:kern w:val="0"/>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乡镇镇区路网改造、弱电入地、供水管网改造、雨污水管网建设，污水处理厂扩容改造，垃圾处理、停车场、客运站等设施建设。</w:t>
            </w:r>
          </w:p>
          <w:p>
            <w:pPr>
              <w:ind w:firstLine="422" w:firstLineChars="200"/>
              <w:rPr>
                <w:rFonts w:ascii="宋体" w:hAnsi="宋体"/>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公共服务：</w:t>
            </w:r>
            <w:r>
              <w:rPr>
                <w:rFonts w:hint="eastAsia" w:ascii="宋体" w:hAnsi="宋体"/>
                <w:color w:val="000000" w:themeColor="text1"/>
                <w:kern w:val="0"/>
                <w:szCs w:val="21"/>
                <w14:textFill>
                  <w14:solidFill>
                    <w14:schemeClr w14:val="tx1"/>
                  </w14:solidFill>
                </w14:textFill>
              </w:rPr>
              <w:t>公园、游园、体育公园建设，公共厕所、健身场所、综合农贸市场建设等。</w:t>
            </w:r>
          </w:p>
          <w:p>
            <w:pPr>
              <w:ind w:firstLine="422" w:firstLineChars="200"/>
              <w:rPr>
                <w:rFonts w:ascii="仿宋" w:hAnsi="仿宋" w:eastAsia="仿宋"/>
                <w:color w:val="000000" w:themeColor="text1"/>
                <w:kern w:val="0"/>
                <w:sz w:val="24"/>
                <w:szCs w:val="24"/>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镇区风貌提升工程：</w:t>
            </w:r>
            <w:r>
              <w:rPr>
                <w:rFonts w:hint="eastAsia" w:ascii="宋体" w:hAnsi="宋体"/>
                <w:color w:val="000000" w:themeColor="text1"/>
                <w:kern w:val="0"/>
                <w:szCs w:val="21"/>
                <w14:textFill>
                  <w14:solidFill>
                    <w14:schemeClr w14:val="tx1"/>
                  </w14:solidFill>
                </w14:textFill>
              </w:rPr>
              <w:t>特色商业街、大型购物中心建设，镇区河道治理工程、绿化美化工程，房屋外观改造提升，交通引导信号设施建设，街道照明设施安装与维护。</w:t>
            </w:r>
          </w:p>
        </w:tc>
      </w:tr>
    </w:tbl>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114" w:name="_Toc71192400"/>
      <w:r>
        <w:rPr>
          <w:rFonts w:hint="eastAsia" w:ascii="Times New Roman" w:hAnsi="Times New Roman" w:eastAsia="楷体"/>
          <w:bCs w:val="0"/>
          <w:color w:val="000000" w:themeColor="text1"/>
          <w:szCs w:val="20"/>
          <w14:textFill>
            <w14:solidFill>
              <w14:schemeClr w14:val="tx1"/>
            </w14:solidFill>
          </w14:textFill>
        </w:rPr>
        <w:t>第四节 推进城乡融合发展</w:t>
      </w:r>
      <w:bookmarkEnd w:id="114"/>
    </w:p>
    <w:p>
      <w:pPr>
        <w:ind w:firstLine="643" w:firstLineChars="200"/>
        <w:rPr>
          <w:rFonts w:ascii="仿宋_GB2312" w:hAnsi="仿宋" w:eastAsia="仿宋_GB2312"/>
          <w:b/>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推进城乡人口自由流动。</w:t>
      </w:r>
      <w:r>
        <w:rPr>
          <w:rFonts w:hint="eastAsia" w:ascii="仿宋_GB2312" w:hAnsi="仿宋" w:eastAsia="仿宋_GB2312"/>
          <w:color w:val="000000" w:themeColor="text1"/>
          <w:sz w:val="32"/>
          <w:szCs w:val="32"/>
          <w14:textFill>
            <w14:solidFill>
              <w14:schemeClr w14:val="tx1"/>
            </w14:solidFill>
          </w14:textFill>
        </w:rPr>
        <w:t>全面放开县城落户限制。推进城镇基本公共服务常住人口全覆盖，增强中心城区、镇区对农业转移人口的吸引力，推动农民工特别是新生代农民工真正融入城市生活。吸引鼓励高校毕业生、外出务工人员、经商人员等各类人才返乡创业、兴业、就业。鼓励全县城乡人口自由双向流动，推进县城科教文卫体等专业技术人员以多种灵活方式服务乡村振兴。</w:t>
      </w:r>
    </w:p>
    <w:p>
      <w:pPr>
        <w:ind w:firstLine="643" w:firstLineChars="200"/>
        <w:rPr>
          <w:rFonts w:ascii="仿宋_GB2312" w:hAnsi="仿宋" w:eastAsia="仿宋_GB2312"/>
          <w:b/>
          <w:color w:val="000000" w:themeColor="text1"/>
          <w:sz w:val="32"/>
          <w:szCs w:val="32"/>
          <w14:textFill>
            <w14:solidFill>
              <w14:schemeClr w14:val="tx1"/>
            </w14:solidFill>
          </w14:textFill>
        </w:rPr>
      </w:pPr>
      <w:r>
        <w:rPr>
          <w:rFonts w:hint="eastAsia" w:ascii="仿宋_GB2312" w:hAnsi="仿宋" w:eastAsia="仿宋_GB2312"/>
          <w:b/>
          <w:color w:val="000000" w:themeColor="text1"/>
          <w:kern w:val="0"/>
          <w:sz w:val="32"/>
          <w:szCs w:val="32"/>
          <w14:textFill>
            <w14:solidFill>
              <w14:schemeClr w14:val="tx1"/>
            </w14:solidFill>
          </w14:textFill>
        </w:rPr>
        <w:t>推进城乡基础设施一体化。</w:t>
      </w:r>
      <w:r>
        <w:rPr>
          <w:rFonts w:hint="eastAsia" w:ascii="仿宋_GB2312" w:hAnsi="仿宋" w:eastAsia="仿宋_GB2312"/>
          <w:color w:val="000000" w:themeColor="text1"/>
          <w:kern w:val="0"/>
          <w:sz w:val="32"/>
          <w:szCs w:val="32"/>
          <w14:textFill>
            <w14:solidFill>
              <w14:schemeClr w14:val="tx1"/>
            </w14:solidFill>
          </w14:textFill>
        </w:rPr>
        <w:t>落实城乡基础设施统一规划、建设和管护。统筹城乡道路、供水、排水、电网、通讯等基础设施建设，建设覆盖全域、普惠共享的基础设施服务网络。加强城乡路网一体化规划设计、一体化建设，加强县、乡镇、村（组）道路有效连接。优化城乡公交线路，加密公交停靠站点，提高城乡公交一体化水平。推动城镇供水、污水管网向周边乡镇、农村延伸，镇区污水处理管网向农村覆盖，推进城乡供水一体化，统筹治理城乡生活污水。加强城乡基础设施一体化管护，推进城乡基础设施运营、管护市场化改革。</w:t>
      </w:r>
    </w:p>
    <w:p>
      <w:pPr>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推进城乡要素合理配置。</w:t>
      </w:r>
      <w:r>
        <w:rPr>
          <w:rFonts w:hint="eastAsia" w:ascii="仿宋_GB2312" w:hAnsi="仿宋" w:eastAsia="仿宋_GB2312"/>
          <w:color w:val="000000" w:themeColor="text1"/>
          <w:sz w:val="32"/>
          <w:szCs w:val="32"/>
          <w14:textFill>
            <w14:solidFill>
              <w14:schemeClr w14:val="tx1"/>
            </w14:solidFill>
          </w14:textFill>
        </w:rPr>
        <w:t>推进土地、资本、信息、技术等生产要素在城乡之间合理配置，促进要素平等交换。落实城镇新增建设用地规模与农业转移人口市民化挂钩政策，探索推进集体经营性建设用地入市，显化集体土地资源市场价值。规范推进镇区国有建设用地招、拍、挂出让，适度推进商品房建设。鼓励工商业资本下乡，支持社会力量进入乡村生产生活性服务业。</w:t>
      </w:r>
    </w:p>
    <w:p>
      <w:pPr>
        <w:pStyle w:val="7"/>
        <w:ind w:firstLine="643" w:firstLineChars="200"/>
        <w:rPr>
          <w:rFonts w:ascii="仿宋_GB2312" w:hAnsi="仿宋" w:eastAsia="仿宋_GB2312"/>
          <w:color w:val="000000" w:themeColor="text1"/>
          <w:kern w:val="2"/>
          <w:sz w:val="32"/>
          <w:szCs w:val="32"/>
          <w:lang w:eastAsia="zh-CN" w:bidi="ar-SA"/>
          <w14:textFill>
            <w14:solidFill>
              <w14:schemeClr w14:val="tx1"/>
            </w14:solidFill>
          </w14:textFill>
        </w:rPr>
      </w:pPr>
      <w:r>
        <w:rPr>
          <w:rFonts w:hint="eastAsia" w:ascii="仿宋_GB2312" w:hAnsi="仿宋" w:eastAsia="仿宋_GB2312"/>
          <w:b/>
          <w:color w:val="000000" w:themeColor="text1"/>
          <w:kern w:val="2"/>
          <w:sz w:val="32"/>
          <w:szCs w:val="32"/>
          <w:lang w:eastAsia="zh-CN" w:bidi="ar-SA"/>
          <w14:textFill>
            <w14:solidFill>
              <w14:schemeClr w14:val="tx1"/>
            </w14:solidFill>
          </w14:textFill>
        </w:rPr>
        <w:t>探索融合发展机制。</w:t>
      </w:r>
      <w:r>
        <w:rPr>
          <w:rFonts w:hint="eastAsia" w:ascii="仿宋_GB2312" w:hAnsi="仿宋" w:eastAsia="仿宋_GB2312"/>
          <w:color w:val="000000" w:themeColor="text1"/>
          <w:kern w:val="2"/>
          <w:sz w:val="32"/>
          <w:szCs w:val="32"/>
          <w:lang w:eastAsia="zh-CN" w:bidi="ar-SA"/>
          <w14:textFill>
            <w14:solidFill>
              <w14:schemeClr w14:val="tx1"/>
            </w14:solidFill>
          </w14:textFill>
        </w:rPr>
        <w:t>建立健全有利于城乡要素合理配置的体制机制，形成人才、土地、资金、产业、信息向乡村汇聚的良性循环。建立健全有利于城乡基本公共服务普惠共享的体制机制，推动公共服务向农村延伸、社会事业向农村覆盖。建立健全有利于乡村经济多元化发展的体制机制，围绕现代农业、新产业、新业态，完善农企紧密联结机制，实现乡村经济多元化和农业全产业链发展。建立健全有利于农民持续增收的体制机制，拓宽增收渠道，持续缩小城乡居民收入水平差距。</w:t>
      </w: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2"/>
        <w:adjustRightInd w:val="0"/>
        <w:snapToGrid w:val="0"/>
        <w:spacing w:before="156" w:beforeLines="50" w:after="156" w:afterLines="50" w:line="240" w:lineRule="auto"/>
        <w:jc w:val="center"/>
        <w:rPr>
          <w:rFonts w:ascii="Times New Roman" w:hAnsi="Times New Roman" w:eastAsia="黑体"/>
          <w:b w:val="0"/>
          <w:color w:val="000000" w:themeColor="text1"/>
          <w:sz w:val="32"/>
          <w14:textFill>
            <w14:solidFill>
              <w14:schemeClr w14:val="tx1"/>
            </w14:solidFill>
          </w14:textFill>
        </w:rPr>
      </w:pPr>
      <w:bookmarkStart w:id="115" w:name="_Toc71192401"/>
      <w:r>
        <w:rPr>
          <w:rFonts w:hint="eastAsia" w:ascii="Times New Roman" w:hAnsi="Times New Roman" w:eastAsia="黑体"/>
          <w:b w:val="0"/>
          <w:color w:val="000000" w:themeColor="text1"/>
          <w:sz w:val="32"/>
          <w14:textFill>
            <w14:solidFill>
              <w14:schemeClr w14:val="tx1"/>
            </w14:solidFill>
          </w14:textFill>
        </w:rPr>
        <w:t>第九章 全面发展社会事业，更好保障和改善民生</w:t>
      </w:r>
      <w:bookmarkEnd w:id="115"/>
    </w:p>
    <w:p>
      <w:pPr>
        <w:ind w:firstLine="640" w:firstLineChars="20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坚持以人民为中心的发展思想，把不断满足人民群众对美好生活的需求，作为工作的出发点和落脚点，提升公共服务质量，促进管理体制创新，坚持在发展中保障和改善民生，使人民群众的获得感、幸福感、安全感更加充实、更有保障、更可持续。</w:t>
      </w:r>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116" w:name="_Toc51309228"/>
      <w:bookmarkStart w:id="117" w:name="_Toc71192402"/>
      <w:r>
        <w:rPr>
          <w:rFonts w:hint="eastAsia" w:ascii="Times New Roman" w:hAnsi="Times New Roman" w:eastAsia="楷体"/>
          <w:bCs w:val="0"/>
          <w:color w:val="000000" w:themeColor="text1"/>
          <w:szCs w:val="20"/>
          <w14:textFill>
            <w14:solidFill>
              <w14:schemeClr w14:val="tx1"/>
            </w14:solidFill>
          </w14:textFill>
        </w:rPr>
        <w:t>第一节 促进更高质量更充分就业</w:t>
      </w:r>
      <w:bookmarkEnd w:id="116"/>
      <w:bookmarkEnd w:id="117"/>
    </w:p>
    <w:p>
      <w:pPr>
        <w:ind w:firstLine="643" w:firstLineChars="20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落实完善更加积极的就业创业扶持政策。</w:t>
      </w:r>
      <w:r>
        <w:rPr>
          <w:rFonts w:hint="eastAsia" w:ascii="仿宋_GB2312" w:hAnsi="华文仿宋" w:eastAsia="仿宋_GB2312"/>
          <w:color w:val="000000" w:themeColor="text1"/>
          <w:sz w:val="32"/>
          <w:szCs w:val="32"/>
          <w14:textFill>
            <w14:solidFill>
              <w14:schemeClr w14:val="tx1"/>
            </w14:solidFill>
          </w14:textFill>
        </w:rPr>
        <w:t>坚持实施就业优先战略和更加积极的就业政策，健全完善公共就业服务体系，全面提升就业质量。做好农村转移劳动力、城镇困难人员、退役军人等重点人群的就业工作，健全就业指导、职业培训、就业见习等服务机制，统筹用好各类公益性岗位托底安置就业。发挥创业带动就业倍增效应，强化创新创业引领，重点支持星创天地返乡下乡创业示范园区建设，打造一批返乡下乡创业示范项目，巩固农民工返乡创业省级示范县创建成果。推广应用全省统一的“互联网+就业创业”信息系统，构建覆盖县、乡（镇）、村三级的城乡公共就业创业服务平台，实现城镇常住人口基本公共就业服务全覆盖。继续组织开展“就业援助月”“春风行动”等公共就业专项服务活动。大力推动劳务经济发展，强化跨区域劳务合作，深化扩展与温州、苏州、宁波、威海等地的长期合作关系。全面落实国家促进再就业的各项优惠政策，扩大担保资金投入。</w:t>
      </w:r>
    </w:p>
    <w:p>
      <w:pPr>
        <w:ind w:firstLine="643" w:firstLineChars="20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实施全民职业技能提升行动。</w:t>
      </w:r>
      <w:r>
        <w:rPr>
          <w:rFonts w:hint="eastAsia" w:ascii="仿宋_GB2312" w:hAnsi="华文仿宋" w:eastAsia="仿宋_GB2312"/>
          <w:color w:val="000000" w:themeColor="text1"/>
          <w:sz w:val="32"/>
          <w:szCs w:val="32"/>
          <w14:textFill>
            <w14:solidFill>
              <w14:schemeClr w14:val="tx1"/>
            </w14:solidFill>
          </w14:textFill>
        </w:rPr>
        <w:t>依托制冷学院等职业院校和各行业重点企业，全面推行企业新型学徒制和现代学徒制，增加职业技能培训规模。鼓励企业与职业技术类院校共建实训中心、教学工厂等，争取全民技能振兴工程建设项目。积极开展新生代农民工职业技能培训，建立开展以登记失业人员和就业困难人员为主的职业技能培训制度。加强人才市场标准化建设，健全统一规范的人力资源市场服务体系。</w:t>
      </w:r>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118" w:name="_Toc51309229"/>
      <w:bookmarkStart w:id="119" w:name="_Toc71192403"/>
      <w:r>
        <w:rPr>
          <w:rFonts w:hint="eastAsia" w:ascii="Times New Roman" w:hAnsi="Times New Roman" w:eastAsia="楷体"/>
          <w:bCs w:val="0"/>
          <w:color w:val="000000" w:themeColor="text1"/>
          <w:szCs w:val="20"/>
          <w14:textFill>
            <w14:solidFill>
              <w14:schemeClr w14:val="tx1"/>
            </w14:solidFill>
          </w14:textFill>
        </w:rPr>
        <w:t>第二节 完善全覆盖多层次社会保障体系</w:t>
      </w:r>
      <w:bookmarkEnd w:id="118"/>
      <w:bookmarkEnd w:id="119"/>
    </w:p>
    <w:p>
      <w:pPr>
        <w:ind w:firstLine="643" w:firstLineChars="20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深化医疗保险制度改革。</w:t>
      </w:r>
      <w:r>
        <w:rPr>
          <w:rFonts w:hint="eastAsia" w:ascii="仿宋_GB2312" w:hAnsi="华文仿宋" w:eastAsia="仿宋_GB2312"/>
          <w:color w:val="000000" w:themeColor="text1"/>
          <w:sz w:val="32"/>
          <w:szCs w:val="32"/>
          <w14:textFill>
            <w14:solidFill>
              <w14:schemeClr w14:val="tx1"/>
            </w14:solidFill>
          </w14:textFill>
        </w:rPr>
        <w:t>积极配合推动基本医疗保险和生育保险市级统筹，严格执行国家基本医疗保险待遇清单管理制度，健全补充医疗保险与基本医疗保险的待遇衔接机制。健全重大疾病医疗保险和救助制度，落实异地就医结算，稳步建立长期护理保险制度，积极发展商业医疗保险。积极落实“互联网+”医疗服务价格和医保支付政策。研究出台县域内紧密型医联体（含医共体）医保总额控制办法。明确乡镇和村级医保经办机构和工作人员，推进建设县、乡镇（街道）、村（社区）全覆盖的医疗保障经办管理体系。加强医保公共服务标准化信息化建设，持续提升医疗保障服务能力和水平。</w:t>
      </w:r>
    </w:p>
    <w:p>
      <w:pPr>
        <w:ind w:firstLine="643" w:firstLineChars="20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深化社会保险制度改革。</w:t>
      </w:r>
      <w:r>
        <w:rPr>
          <w:rFonts w:hint="eastAsia" w:ascii="仿宋_GB2312" w:hAnsi="华文仿宋" w:eastAsia="仿宋_GB2312"/>
          <w:color w:val="000000" w:themeColor="text1"/>
          <w:sz w:val="32"/>
          <w:szCs w:val="32"/>
          <w14:textFill>
            <w14:solidFill>
              <w14:schemeClr w14:val="tx1"/>
            </w14:solidFill>
          </w14:textFill>
        </w:rPr>
        <w:t>完善覆盖全民的社会保障体系，推动企业职工基本养老保险、工伤保险和失业保险实现省级统筹。落实国家渐进式延迟法定退休年龄政策，发展多层次、多支柱养老保险体系。大力推进机关事业单位养老保险制度改革“中人”待遇结算工作。进一步完善兼顾各类参保人员养老金待遇正常调整机制，统一企业和机关事业单位退休人员基本养老金调整办法，完善城乡居民基本养老保险基础养老金增长机制。健全失业保险和工伤保险待遇动态调整机制，提高失业保险对困难家庭、双失业家庭、大龄失业人员等重点群体的生活保障力度。优化规范工伤保险待遇项目设置，保障工伤职工待遇水平稳步增长。</w:t>
      </w:r>
    </w:p>
    <w:p>
      <w:pPr>
        <w:ind w:firstLine="643" w:firstLineChars="20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全面实施全民参保计划。</w:t>
      </w:r>
      <w:r>
        <w:rPr>
          <w:rFonts w:hint="eastAsia" w:ascii="仿宋_GB2312" w:hAnsi="华文仿宋" w:eastAsia="仿宋_GB2312"/>
          <w:color w:val="000000" w:themeColor="text1"/>
          <w:sz w:val="32"/>
          <w:szCs w:val="32"/>
          <w14:textFill>
            <w14:solidFill>
              <w14:schemeClr w14:val="tx1"/>
            </w14:solidFill>
          </w14:textFill>
        </w:rPr>
        <w:t>加强全民参保数据动态管理和分析应用，建立全民参保登记动态清零机制，推动基本社会保险从制度全覆盖迈向人员全覆盖。优化社会保险政策设计，积极探索网络平台、电商、物流快递等新业态人员参保政策，探索中小微企业、私营企业、农民工等灵活就业群体的参保政策，着力解决基本养老保险断保、停保问题，鼓励积极参保、连续缴费。完善社会保险公共服务平台，探索以社会保障卡为载体建立居民服务“一卡通”。</w:t>
      </w:r>
    </w:p>
    <w:p>
      <w:pPr>
        <w:ind w:firstLine="643" w:firstLineChars="20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完善社保基金可持续运行机制。</w:t>
      </w:r>
      <w:r>
        <w:rPr>
          <w:rFonts w:hint="eastAsia" w:ascii="仿宋_GB2312" w:hAnsi="华文仿宋" w:eastAsia="仿宋_GB2312"/>
          <w:color w:val="000000" w:themeColor="text1"/>
          <w:sz w:val="32"/>
          <w:szCs w:val="32"/>
          <w14:textFill>
            <w14:solidFill>
              <w14:schemeClr w14:val="tx1"/>
            </w14:solidFill>
          </w14:textFill>
        </w:rPr>
        <w:t>全面落实基金筹资相关政策，加强基金预算管理和风险预警。开展信息共享和大数据筛查比对，提升监管手段，强化基金监督管理。建立完善风险防控系统，探索建立非现场监管机制，提高监管效率。完善医疗保障基金监管办法，提升基金监管能力。确保各项社会保险基金收支平衡，制度长期稳定运行。</w:t>
      </w:r>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120" w:name="_Toc51309230"/>
      <w:bookmarkStart w:id="121" w:name="_Toc71192404"/>
      <w:r>
        <w:rPr>
          <w:rFonts w:hint="eastAsia" w:ascii="Times New Roman" w:hAnsi="Times New Roman" w:eastAsia="楷体"/>
          <w:bCs w:val="0"/>
          <w:color w:val="000000" w:themeColor="text1"/>
          <w:szCs w:val="20"/>
          <w14:textFill>
            <w14:solidFill>
              <w14:schemeClr w14:val="tx1"/>
            </w14:solidFill>
          </w14:textFill>
        </w:rPr>
        <w:t>第三节 发展高标准现代教育体系</w:t>
      </w:r>
      <w:bookmarkEnd w:id="120"/>
      <w:bookmarkEnd w:id="121"/>
    </w:p>
    <w:p>
      <w:pPr>
        <w:ind w:firstLine="643" w:firstLineChars="20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推进学前教育普及普惠发展。</w:t>
      </w:r>
      <w:r>
        <w:rPr>
          <w:rFonts w:hint="eastAsia" w:ascii="仿宋_GB2312" w:hAnsi="华文仿宋" w:eastAsia="仿宋_GB2312"/>
          <w:color w:val="000000" w:themeColor="text1"/>
          <w:sz w:val="32"/>
          <w:szCs w:val="32"/>
          <w14:textFill>
            <w14:solidFill>
              <w14:schemeClr w14:val="tx1"/>
            </w14:solidFill>
          </w14:textFill>
        </w:rPr>
        <w:t>强化落实政府学前教育公共服务职能，加大财政对公办园和普惠性民办园的投入，扩大普惠性学前教育资源供给；实施幼儿园建设工程，按计划新建、改扩建一批高标准幼儿园；规范城镇住宅小区配套幼儿园的建设管理工作。进一步加强学前教育管理，全面提高保教质量。突出学前教育的公益性和普惠性，不断提升学前教育发展水平，逐步满足广大人民群众接受优质学前教育的期盼，学前三年毛入学率达到95%，学前一年毛入学率达到99.8%。</w:t>
      </w:r>
    </w:p>
    <w:p>
      <w:pPr>
        <w:ind w:firstLine="643" w:firstLineChars="20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推动义务教育均衡充分发展。</w:t>
      </w:r>
      <w:r>
        <w:rPr>
          <w:rFonts w:hint="eastAsia" w:ascii="仿宋_GB2312" w:hAnsi="华文仿宋" w:eastAsia="仿宋_GB2312"/>
          <w:color w:val="000000" w:themeColor="text1"/>
          <w:sz w:val="32"/>
          <w:szCs w:val="32"/>
          <w14:textFill>
            <w14:solidFill>
              <w14:schemeClr w14:val="tx1"/>
            </w14:solidFill>
          </w14:textFill>
        </w:rPr>
        <w:t>加快推进教育强县建设，巩固义务教育发展基本均衡县创建成果，推进义务教育优质均衡发展行动计划。实施义务教育学校建设提标工程，建立中小学校标准化建设台账，加快推进标准化建设。支持高新区中小学校建设，满足产业工人需求。完善农村基本办学条件，配齐配好教师队伍，打造一批精品寄宿制学校。</w:t>
      </w:r>
    </w:p>
    <w:p>
      <w:pPr>
        <w:ind w:firstLine="643" w:firstLineChars="20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促进高中教育优质特色发展。</w:t>
      </w:r>
      <w:r>
        <w:rPr>
          <w:rFonts w:hint="eastAsia" w:ascii="仿宋_GB2312" w:hAnsi="华文仿宋" w:eastAsia="仿宋_GB2312"/>
          <w:color w:val="000000" w:themeColor="text1"/>
          <w:sz w:val="32"/>
          <w:szCs w:val="32"/>
          <w14:textFill>
            <w14:solidFill>
              <w14:schemeClr w14:val="tx1"/>
            </w14:solidFill>
          </w14:textFill>
        </w:rPr>
        <w:t>完善学校建设规划，加快推进民权县高级中学新校区建设。实施普通高中特色提质计划，逐步建立完善选课走班教学管理机制，更好适应高考改革发展需要。支持民办普通高中发展。统筹课堂学习和课外实践，建设一批稳定的学生社会实践基地。努力普及高中阶段教育，高中阶段毛入学率达到94%以上。</w:t>
      </w:r>
    </w:p>
    <w:p>
      <w:pPr>
        <w:ind w:firstLine="643" w:firstLineChars="20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推进职业教育高质量发展。</w:t>
      </w:r>
      <w:r>
        <w:rPr>
          <w:rFonts w:hint="eastAsia" w:ascii="仿宋_GB2312" w:hAnsi="华文仿宋" w:eastAsia="仿宋_GB2312"/>
          <w:color w:val="000000" w:themeColor="text1"/>
          <w:sz w:val="32"/>
          <w:szCs w:val="32"/>
          <w14:textFill>
            <w14:solidFill>
              <w14:schemeClr w14:val="tx1"/>
            </w14:solidFill>
          </w14:textFill>
        </w:rPr>
        <w:t>优化同民权县经济发展相适应的教育结构、学科专业结构和人才培养结构，扩大人才培养和社会技能人才培训规模，满足县域经济发展需求。全面实施中等职业学校标准化建设工程，推动全县中等职业学校基本办学条件达到国家级示范校标准。总结现代学徒制和企业新型学徒制经验，坚持工学结合，深化产教融合、校企双元育人等人才培养模式。积极推动校企全面深度合作，支持县职教中心、制冷技术学院建设高标准产教融合实训基地，增设学前教育、特殊教育、社会服务、通航地勤等专业。全面推动职业教育教学改革，力争建成一所服务、支持地方产业和经济发展的县域高等职业院校。支持与河南大学合作建立农学院，培养农业、养殖业、葡萄酒酿造等方面人才，推进职业教育高质量发展。</w:t>
      </w:r>
    </w:p>
    <w:p>
      <w:pPr>
        <w:ind w:firstLine="643" w:firstLineChars="20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推动特殊教育优质融合发展。</w:t>
      </w:r>
      <w:r>
        <w:rPr>
          <w:rFonts w:hint="eastAsia" w:ascii="仿宋_GB2312" w:hAnsi="华文仿宋" w:eastAsia="仿宋_GB2312"/>
          <w:color w:val="000000" w:themeColor="text1"/>
          <w:sz w:val="32"/>
          <w:szCs w:val="32"/>
          <w14:textFill>
            <w14:solidFill>
              <w14:schemeClr w14:val="tx1"/>
            </w14:solidFill>
          </w14:textFill>
        </w:rPr>
        <w:t xml:space="preserve">全面推进融合教育，提高义务教育普及水平，进一步健全完善以普通学校随班就读为主体，以特殊教育学校为骨干，以送教上门为补充的特殊教育体系，力争让每一个残疾少年儿童都能接受合适的教育。完善经费保障机制，加大特殊教育经费投入。加强特殊教育学校的基础设施建设，加大聋哑学校建设投入，进一步改善办学条件。加强师资队伍建设，提高教师专业化水平。 </w:t>
      </w:r>
    </w:p>
    <w:p>
      <w:pPr>
        <w:ind w:firstLine="643" w:firstLineChars="20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深化教育教学改革。</w:t>
      </w:r>
      <w:r>
        <w:rPr>
          <w:rFonts w:hint="eastAsia" w:ascii="仿宋_GB2312" w:hAnsi="华文仿宋" w:eastAsia="仿宋_GB2312"/>
          <w:color w:val="000000" w:themeColor="text1"/>
          <w:sz w:val="32"/>
          <w:szCs w:val="32"/>
          <w14:textFill>
            <w14:solidFill>
              <w14:schemeClr w14:val="tx1"/>
            </w14:solidFill>
          </w14:textFill>
        </w:rPr>
        <w:t>加强依法办学，全面深化办学体制和管理体制改革。深化新时代教育评价改革，全面贯彻落实教育督导体制机制改革。强化校长和教师队伍“县管校聘”管理体制改革，开展名校、名师、名校长、名班主任培育工程。深化中小学教师管理综合改革，加强乡村教师队伍建设，完善教师待遇保障机制。加强互联网+教育与教育信息化建设，推动信息技术与课程改革有机结合。加强和改进体育美育教育，深入推进体教融合，大力推进劳动教育和职业启蒙教育，强化学生心理健康教育。健全学校家庭社会协同育人机制。支持和规范民办教育发展，规范校外培训机构。</w:t>
      </w:r>
    </w:p>
    <w:p>
      <w:pPr>
        <w:ind w:firstLine="643" w:firstLineChars="20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建设学习型社会。</w:t>
      </w:r>
      <w:r>
        <w:rPr>
          <w:rFonts w:hint="eastAsia" w:ascii="仿宋_GB2312" w:hAnsi="华文仿宋" w:eastAsia="仿宋_GB2312"/>
          <w:color w:val="000000" w:themeColor="text1"/>
          <w:sz w:val="32"/>
          <w:szCs w:val="32"/>
          <w14:textFill>
            <w14:solidFill>
              <w14:schemeClr w14:val="tx1"/>
            </w14:solidFill>
          </w14:textFill>
        </w:rPr>
        <w:t>建立完善网络化、数字化、个性化的终身学习体系，加快推动“互联网+终身教育”。广泛开展社区教育、老年教育、劳动力转移和回乡农民工培训等终身学习活动。推进全民阅读，支持实体书店发展，推广城市书房、文化驿站等项目，加快建设书香民权。完善终身教育的法规制度建设。</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napToGrid w:val="0"/>
              <w:rPr>
                <w:rFonts w:ascii="宋体" w:hAnsi="宋体"/>
                <w:b/>
                <w:color w:val="000000" w:themeColor="text1"/>
                <w:szCs w:val="21"/>
                <w14:textFill>
                  <w14:solidFill>
                    <w14:schemeClr w14:val="tx1"/>
                  </w14:solidFill>
                </w14:textFill>
              </w:rPr>
            </w:pPr>
            <w:r>
              <w:rPr>
                <w:rFonts w:hint="eastAsia" w:ascii="Times New Roman" w:hAnsi="Times New Roman" w:eastAsia="黑体"/>
                <w:bCs/>
                <w:color w:val="000000" w:themeColor="text1"/>
                <w:sz w:val="24"/>
                <w:szCs w:val="24"/>
                <w14:textFill>
                  <w14:solidFill>
                    <w14:schemeClr w14:val="tx1"/>
                  </w14:solidFill>
                </w14:textFill>
              </w:rPr>
              <w:t>专栏9-1：教育领域重点项目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tabs>
                <w:tab w:val="left" w:pos="1478"/>
              </w:tabs>
              <w:ind w:firstLine="422" w:firstLineChars="200"/>
              <w:jc w:val="left"/>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学前教育项目：</w:t>
            </w:r>
            <w:r>
              <w:rPr>
                <w:rFonts w:hint="eastAsia" w:ascii="宋体" w:hAnsi="宋体"/>
                <w:color w:val="000000" w:themeColor="text1"/>
                <w:szCs w:val="21"/>
                <w14:textFill>
                  <w14:solidFill>
                    <w14:schemeClr w14:val="tx1"/>
                  </w14:solidFill>
                </w14:textFill>
              </w:rPr>
              <w:t>建设科研路幼儿园、工农路幼儿园、民权县第二幼儿园等，建设规模均为24班，涉及建筑、配套设施工程建设及教育装备等设施设备购置。</w:t>
            </w:r>
          </w:p>
          <w:p>
            <w:pPr>
              <w:tabs>
                <w:tab w:val="left" w:pos="1478"/>
              </w:tabs>
              <w:ind w:firstLine="422" w:firstLineChars="200"/>
              <w:jc w:val="left"/>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城区义务教育学校建设：</w:t>
            </w:r>
            <w:r>
              <w:rPr>
                <w:rFonts w:hint="eastAsia" w:ascii="宋体" w:hAnsi="宋体"/>
                <w:color w:val="000000" w:themeColor="text1"/>
                <w:szCs w:val="21"/>
                <w14:textFill>
                  <w14:solidFill>
                    <w14:schemeClr w14:val="tx1"/>
                  </w14:solidFill>
                </w14:textFill>
              </w:rPr>
              <w:t>新建民权县祥和小学，投入资金3510万元,占地面积18405平方米,总建筑面积6075平方米,建设教学、办公、生活用房等；新建民权县东环小学，投入资金4300万元,占地面积19000平方米,总建筑面积9112平方米,建设教学、办公、生活用房等；改扩建民权县第五小学,计划投入资金2764万元,占地面积10080平方米,建筑面积7500平方米,计划改扩建教学楼、综合楼、宿舍楼、餐厅等。</w:t>
            </w:r>
          </w:p>
          <w:p>
            <w:pPr>
              <w:tabs>
                <w:tab w:val="left" w:pos="1478"/>
              </w:tabs>
              <w:ind w:firstLine="422" w:firstLineChars="200"/>
              <w:jc w:val="left"/>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农村义务教育学校建设：</w:t>
            </w:r>
            <w:r>
              <w:rPr>
                <w:rFonts w:hint="eastAsia" w:ascii="宋体" w:hAnsi="宋体"/>
                <w:color w:val="000000" w:themeColor="text1"/>
                <w:szCs w:val="21"/>
                <w14:textFill>
                  <w14:solidFill>
                    <w14:schemeClr w14:val="tx1"/>
                  </w14:solidFill>
                </w14:textFill>
              </w:rPr>
              <w:t>计划新建、改扩建80所农村中小学,计划投入资金1.5亿元,计划建设面积95000平方米。</w:t>
            </w:r>
          </w:p>
          <w:p>
            <w:pPr>
              <w:tabs>
                <w:tab w:val="left" w:pos="1478"/>
              </w:tabs>
              <w:ind w:firstLine="422" w:firstLineChars="200"/>
              <w:jc w:val="left"/>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普通高中建设：</w:t>
            </w:r>
            <w:r>
              <w:rPr>
                <w:rFonts w:hint="eastAsia" w:ascii="宋体" w:hAnsi="宋体"/>
                <w:color w:val="000000" w:themeColor="text1"/>
                <w:szCs w:val="21"/>
                <w14:textFill>
                  <w14:solidFill>
                    <w14:schemeClr w14:val="tx1"/>
                  </w14:solidFill>
                </w14:textFill>
              </w:rPr>
              <w:t>新建民权县高级中学新校区, 项目位于向阳路以西,北环路以南，占地面积约417.9亩,总建筑面积约253737.74m,投资总额约65000万元，包括教学用房、图文信息中心、校史展览馆、学生宿舍等。</w:t>
            </w:r>
          </w:p>
          <w:p>
            <w:pPr>
              <w:tabs>
                <w:tab w:val="left" w:pos="1478"/>
              </w:tabs>
              <w:ind w:firstLine="422" w:firstLineChars="200"/>
              <w:jc w:val="left"/>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民权县聋哑学校整体搬迁：</w:t>
            </w:r>
            <w:r>
              <w:rPr>
                <w:rFonts w:hint="eastAsia" w:ascii="宋体" w:hAnsi="宋体"/>
                <w:color w:val="000000" w:themeColor="text1"/>
                <w:szCs w:val="21"/>
                <w14:textFill>
                  <w14:solidFill>
                    <w14:schemeClr w14:val="tx1"/>
                  </w14:solidFill>
                </w14:textFill>
              </w:rPr>
              <w:t>预计建筑面积7000平方米，包括特殊教育教室、活动室、寝室、体音美锻炼室，以及多功能室、办公及生活辅助室等。</w:t>
            </w:r>
          </w:p>
          <w:p>
            <w:pPr>
              <w:tabs>
                <w:tab w:val="left" w:pos="1478"/>
              </w:tabs>
              <w:ind w:firstLine="422" w:firstLineChars="200"/>
              <w:jc w:val="left"/>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制冷学院新校区建设：</w:t>
            </w:r>
            <w:r>
              <w:rPr>
                <w:rFonts w:hint="eastAsia" w:ascii="宋体" w:hAnsi="宋体"/>
                <w:color w:val="000000" w:themeColor="text1"/>
                <w:szCs w:val="21"/>
                <w14:textFill>
                  <w14:solidFill>
                    <w14:schemeClr w14:val="tx1"/>
                  </w14:solidFill>
                </w14:textFill>
              </w:rPr>
              <w:t>改扩建建筑面积56868平方米，包括教学楼、图书楼、实训楼、体育馆、食堂、运动场等。</w:t>
            </w:r>
          </w:p>
          <w:p>
            <w:pPr>
              <w:tabs>
                <w:tab w:val="left" w:pos="1478"/>
              </w:tabs>
              <w:ind w:firstLine="422" w:firstLineChars="200"/>
              <w:jc w:val="left"/>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教师周转宿舍建设：</w:t>
            </w:r>
            <w:r>
              <w:rPr>
                <w:rFonts w:hint="eastAsia" w:ascii="宋体" w:hAnsi="宋体"/>
                <w:color w:val="000000" w:themeColor="text1"/>
                <w:szCs w:val="21"/>
                <w14:textFill>
                  <w14:solidFill>
                    <w14:schemeClr w14:val="tx1"/>
                  </w14:solidFill>
                </w14:textFill>
              </w:rPr>
              <w:t>计划投入资金7630万元，建设11栋教师周转宿舍，931套周转房，满足931名农村特岗、支教教师生活需要。</w:t>
            </w:r>
          </w:p>
        </w:tc>
      </w:tr>
      <w:bookmarkEnd w:id="108"/>
    </w:tbl>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122" w:name="_Toc71192405"/>
      <w:bookmarkStart w:id="123" w:name="_Toc51309231"/>
      <w:r>
        <w:rPr>
          <w:rFonts w:hint="eastAsia" w:ascii="Times New Roman" w:hAnsi="Times New Roman" w:eastAsia="楷体"/>
          <w:bCs w:val="0"/>
          <w:color w:val="000000" w:themeColor="text1"/>
          <w:szCs w:val="20"/>
          <w14:textFill>
            <w14:solidFill>
              <w14:schemeClr w14:val="tx1"/>
            </w14:solidFill>
          </w14:textFill>
        </w:rPr>
        <w:t>第四节 构建全民健康管理服务体系</w:t>
      </w:r>
      <w:bookmarkEnd w:id="122"/>
      <w:bookmarkEnd w:id="123"/>
    </w:p>
    <w:p>
      <w:pPr>
        <w:ind w:firstLine="643" w:firstLineChars="20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加强公共卫生服务体系建设。</w:t>
      </w:r>
      <w:r>
        <w:rPr>
          <w:rFonts w:hint="eastAsia" w:ascii="仿宋_GB2312" w:hAnsi="华文仿宋" w:eastAsia="仿宋_GB2312"/>
          <w:color w:val="000000" w:themeColor="text1"/>
          <w:sz w:val="32"/>
          <w:szCs w:val="32"/>
          <w14:textFill>
            <w14:solidFill>
              <w14:schemeClr w14:val="tx1"/>
            </w14:solidFill>
          </w14:textFill>
        </w:rPr>
        <w:t>构建传染病疫情监测和突发公共卫生事件信息系统，做好重大疫情防控工作，全面提升传染病救治能力。完善远程医疗系统，拓展“互联网+医疗健康”线上线下一体化医疗服务模式，提升基层医疗能力。促进医疗卫生机构之间的医防结合，做好医疗机构和疾控之间的配套和衔接，加强公共卫生能力建设。完善公共卫生应急管理体系建设，加强重大疫情应急物资储备、技术储备和产能储备，推动大型公共建筑预设平疫结合改造接口，完善突发公共卫生事件联防联控、群防群控机制。深入实施“健康民权”行动，开展爱国卫生运动，加强职业病防治、疫苗接种、健康宣教、卫生监督工作，大力推进“以治病为中心”向“以健康为中心”转变。</w:t>
      </w:r>
    </w:p>
    <w:p>
      <w:pPr>
        <w:tabs>
          <w:tab w:val="left" w:pos="1478"/>
        </w:tabs>
        <w:ind w:firstLine="643" w:firstLineChars="20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推进医疗资源扩容提质均衡发展。</w:t>
      </w:r>
      <w:r>
        <w:rPr>
          <w:rFonts w:hint="eastAsia" w:ascii="仿宋_GB2312" w:hAnsi="华文仿宋" w:eastAsia="仿宋_GB2312"/>
          <w:color w:val="000000" w:themeColor="text1"/>
          <w:sz w:val="32"/>
          <w:szCs w:val="32"/>
          <w14:textFill>
            <w14:solidFill>
              <w14:schemeClr w14:val="tx1"/>
            </w14:solidFill>
          </w14:textFill>
        </w:rPr>
        <w:t>推进县人民医院新院区建设和中医院特色发展，争创三级医院。支持妇幼保健院争创二级医院。重点补齐乡镇卫生院和村卫生室服务短板，提升基层医疗机构服务水平和综合能力。支持县人民医院与省人民医院、县中医院与省中医院建设医联体医共体，支持建设其他二级专科医疗机构。推进医养结合，完善中医医疗机构服务体系，发挥中医药“治未病”和养生保健优势。深化医药卫生体制改革，全面推开紧密型县域医共体建设。完善分级诊疗制度，形成上下联动的县域医疗卫生服务体系。全面实施院长培训工程，提升医院精细化管理水平。实施完善医师多点执业，探索弥补紧缺岗位不足问题。推进健康信息平台、健康医疗大数据和数字化医院建设。创建省级健康促进县。“十四五”时期，每年争创1-2个二级医院，每千人常住人口医疗卫生床位数不低于6张，每千人常住人口执业医生数不低于2.5人。</w:t>
      </w:r>
    </w:p>
    <w:p>
      <w:pPr>
        <w:tabs>
          <w:tab w:val="left" w:pos="1478"/>
        </w:tabs>
        <w:ind w:firstLine="643" w:firstLineChars="20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完善全民健身公共服务体系。</w:t>
      </w:r>
      <w:r>
        <w:rPr>
          <w:rFonts w:hint="eastAsia" w:ascii="仿宋_GB2312" w:hAnsi="华文仿宋" w:eastAsia="仿宋_GB2312"/>
          <w:color w:val="000000" w:themeColor="text1"/>
          <w:sz w:val="32"/>
          <w:szCs w:val="32"/>
          <w14:textFill>
            <w14:solidFill>
              <w14:schemeClr w14:val="tx1"/>
            </w14:solidFill>
          </w14:textFill>
        </w:rPr>
        <w:t xml:space="preserve">加快推进“两场三馆”建设，完善县、乡镇（街道）、村（社区）三级公共体育设施服务体系，打造城区“15分钟健身圈”。支持各类体育场馆免费或低收费开放，完善公共体育服务体系，提升体育公共服务水平。广泛开展群众性体育健身活动，创新竞技体育人才培养、选拔、激励保障机制。积极争取承办国家级赛事，争创全民健身示范县。到2025年，人均体育场面积达到2平方米，体育建设设施实现社区全覆盖。                </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napToGrid w:val="0"/>
              <w:rPr>
                <w:rFonts w:ascii="宋体" w:hAnsi="宋体"/>
                <w:b/>
                <w:color w:val="000000" w:themeColor="text1"/>
                <w:szCs w:val="21"/>
                <w14:textFill>
                  <w14:solidFill>
                    <w14:schemeClr w14:val="tx1"/>
                  </w14:solidFill>
                </w14:textFill>
              </w:rPr>
            </w:pPr>
            <w:r>
              <w:rPr>
                <w:rFonts w:hint="eastAsia" w:ascii="Times New Roman" w:hAnsi="Times New Roman" w:eastAsia="黑体"/>
                <w:bCs/>
                <w:color w:val="000000" w:themeColor="text1"/>
                <w:sz w:val="24"/>
                <w:szCs w:val="24"/>
                <w14:textFill>
                  <w14:solidFill>
                    <w14:schemeClr w14:val="tx1"/>
                  </w14:solidFill>
                </w14:textFill>
              </w:rPr>
              <w:t>专栏9-2：健康领域重点项目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tabs>
                <w:tab w:val="left" w:pos="1478"/>
              </w:tabs>
              <w:ind w:firstLine="422" w:firstLineChars="200"/>
              <w:jc w:val="left"/>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人民医院新院区建设</w:t>
            </w:r>
            <w:r>
              <w:rPr>
                <w:rFonts w:hint="eastAsia" w:ascii="宋体" w:hAnsi="宋体"/>
                <w:color w:val="000000" w:themeColor="text1"/>
                <w:szCs w:val="21"/>
                <w14:textFill>
                  <w14:solidFill>
                    <w14:schemeClr w14:val="tx1"/>
                  </w14:solidFill>
                </w14:textFill>
              </w:rPr>
              <w:t>：总建筑面积 231750平方米，规划床位1500张，包括门诊楼、医技楼、病房楼、传染病区、科研教学楼、行政办公楼、学术报告厅等和配套建设工程、装修工程。</w:t>
            </w:r>
          </w:p>
          <w:p>
            <w:pPr>
              <w:tabs>
                <w:tab w:val="left" w:pos="1478"/>
              </w:tabs>
              <w:ind w:firstLine="422" w:firstLineChars="200"/>
              <w:jc w:val="left"/>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人民医院各专科医院及中心建设</w:t>
            </w:r>
            <w:r>
              <w:rPr>
                <w:rFonts w:hint="eastAsia" w:ascii="宋体" w:hAnsi="宋体"/>
                <w:color w:val="000000" w:themeColor="text1"/>
                <w:szCs w:val="21"/>
                <w14:textFill>
                  <w14:solidFill>
                    <w14:schemeClr w14:val="tx1"/>
                  </w14:solidFill>
                </w14:textFill>
              </w:rPr>
              <w:t>：包括县人民医院心脑血管专科医院、骨科医院、儿童专科医院、胸痛中心、检验中心、急救中心，县体检中心、影像中心、卫生信息中心、</w:t>
            </w:r>
            <w:r>
              <w:rPr>
                <w:rFonts w:hint="eastAsia" w:ascii="宋体" w:hAnsi="宋体" w:cs="宋体"/>
                <w:color w:val="000000" w:themeColor="text1"/>
                <w:szCs w:val="21"/>
                <w14:textFill>
                  <w14:solidFill>
                    <w14:schemeClr w14:val="tx1"/>
                  </w14:solidFill>
                </w14:textFill>
              </w:rPr>
              <w:t>卒中中心、创伤中心、危重孕产妇救治中心、危重儿童和新生儿救治中心等。</w:t>
            </w:r>
          </w:p>
          <w:p>
            <w:pPr>
              <w:tabs>
                <w:tab w:val="left" w:pos="1478"/>
              </w:tabs>
              <w:ind w:firstLine="422" w:firstLineChars="200"/>
              <w:jc w:val="left"/>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中医院病房综合楼建设</w:t>
            </w:r>
            <w:r>
              <w:rPr>
                <w:rFonts w:hint="eastAsia" w:ascii="宋体" w:hAnsi="宋体"/>
                <w:color w:val="000000" w:themeColor="text1"/>
                <w:szCs w:val="21"/>
                <w14:textFill>
                  <w14:solidFill>
                    <w14:schemeClr w14:val="tx1"/>
                  </w14:solidFill>
                </w14:textFill>
              </w:rPr>
              <w:t>：建筑面积16900平方米，建设病房、手术室、消毒供应室等，以及相应的配套硬化、绿化。</w:t>
            </w:r>
          </w:p>
          <w:p>
            <w:pPr>
              <w:tabs>
                <w:tab w:val="left" w:pos="1478"/>
              </w:tabs>
              <w:ind w:firstLine="422" w:firstLineChars="200"/>
              <w:jc w:val="left"/>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县妇幼保健院医养康复中心</w:t>
            </w:r>
            <w:r>
              <w:rPr>
                <w:rFonts w:hint="eastAsia" w:ascii="宋体" w:hAnsi="宋体"/>
                <w:color w:val="000000" w:themeColor="text1"/>
                <w:szCs w:val="21"/>
                <w14:textFill>
                  <w14:solidFill>
                    <w14:schemeClr w14:val="tx1"/>
                  </w14:solidFill>
                </w14:textFill>
              </w:rPr>
              <w:t>：总建筑面积 15000平方米，包括婚前体检中心、育婴中心、产后恢复中心等，总投资9000万。</w:t>
            </w:r>
          </w:p>
          <w:p>
            <w:pPr>
              <w:tabs>
                <w:tab w:val="left" w:pos="1478"/>
              </w:tabs>
              <w:ind w:firstLine="422" w:firstLineChars="200"/>
              <w:jc w:val="left"/>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乡镇卫生院服务能力提升</w:t>
            </w:r>
            <w:r>
              <w:rPr>
                <w:rFonts w:hint="eastAsia" w:ascii="宋体" w:hAnsi="宋体"/>
                <w:color w:val="000000" w:themeColor="text1"/>
                <w:szCs w:val="21"/>
                <w14:textFill>
                  <w14:solidFill>
                    <w14:schemeClr w14:val="tx1"/>
                  </w14:solidFill>
                </w14:textFill>
              </w:rPr>
              <w:t>：王桥镇、花园乡卫生院新院区建设项目，建筑面积分别为15000平方米，包括门诊楼、病房楼、行政办公楼等，以及配套建设工程；程庄镇、人和镇、城关镇、野岗镇、王庄寨镇、孙六镇、老颜集乡、伯党回族乡、白云寺镇、胡集回族乡卫生院防疫门诊与公共卫生综合楼建设项目，建筑面积分别为10000平方米，包括预防科、接种科、公共卫生科、物资仓库等；17个乡镇卫生院业务用房，建筑面积55605平方米。</w:t>
            </w:r>
          </w:p>
          <w:p>
            <w:pPr>
              <w:tabs>
                <w:tab w:val="left" w:pos="1478"/>
              </w:tabs>
              <w:ind w:firstLine="422" w:firstLineChars="200"/>
              <w:jc w:val="left"/>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应急医疗及突发公共卫生救治能力提升</w:t>
            </w:r>
            <w:r>
              <w:rPr>
                <w:rFonts w:hint="eastAsia" w:ascii="宋体" w:hAnsi="宋体"/>
                <w:color w:val="000000" w:themeColor="text1"/>
                <w:szCs w:val="21"/>
                <w14:textFill>
                  <w14:solidFill>
                    <w14:schemeClr w14:val="tx1"/>
                  </w14:solidFill>
                </w14:textFill>
              </w:rPr>
              <w:t>：购置设备，提高人民医院、中医院、乡镇卫生院的应急医疗救治能力；人民医院突发公共卫生救治能力提升项目，总建筑面积14000平方米，标准床位数200 张，建设5个隔离病区，8间负压病房；疾控中心标准化建设；乡镇卫生院突发公共卫生救治能力提升项目，包括9个乡镇卫生院业务用房，建筑面积32489平方米。</w:t>
            </w:r>
          </w:p>
          <w:p>
            <w:pPr>
              <w:tabs>
                <w:tab w:val="left" w:pos="1478"/>
              </w:tabs>
              <w:ind w:firstLine="422" w:firstLineChars="200"/>
              <w:jc w:val="left"/>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医养结合相关项目</w:t>
            </w:r>
            <w:r>
              <w:rPr>
                <w:rFonts w:hint="eastAsia" w:ascii="宋体" w:hAnsi="宋体"/>
                <w:color w:val="000000" w:themeColor="text1"/>
                <w:szCs w:val="21"/>
                <w14:textFill>
                  <w14:solidFill>
                    <w14:schemeClr w14:val="tx1"/>
                  </w14:solidFill>
                </w14:textFill>
              </w:rPr>
              <w:t>：黄河故道医养结合健康养老中心建设项目，占地100亩,建筑面积5.2平方米，床位1200张；人民医院健康养老中心建设项目，总建筑面积18000平方米，一栋12层楼，包括医技检查、康复治疗中心、养老公寓、活动中心、餐厅等；中医院医养中心建设项目，包括门诊楼、医养综合病房楼、外科病房楼、内科病房楼、医技综合楼、后勤保障综合楼、中药制剂楼等建设项目。龙塘镇、双塔镇、程庄镇、北关镇、庄子镇、褚庙乡、林七乡卫生院医养中心建设项目，建筑面积分别为10000平米，涉及临床科室、康复训练区、重症监护区、康复训练区、临床关怀病房、医养病房等。</w:t>
            </w:r>
          </w:p>
          <w:p>
            <w:pPr>
              <w:tabs>
                <w:tab w:val="left" w:pos="1478"/>
              </w:tabs>
              <w:ind w:firstLine="422" w:firstLineChars="200"/>
              <w:jc w:val="left"/>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县乡村医疗机构智能服务平台建设</w:t>
            </w:r>
            <w:r>
              <w:rPr>
                <w:rFonts w:hint="eastAsia" w:ascii="宋体" w:hAnsi="宋体"/>
                <w:color w:val="000000" w:themeColor="text1"/>
                <w:szCs w:val="21"/>
                <w14:textFill>
                  <w14:solidFill>
                    <w14:schemeClr w14:val="tx1"/>
                  </w14:solidFill>
                </w14:textFill>
              </w:rPr>
              <w:t>：购置相关设备，搭建完善医疗机构职能服务平台。</w:t>
            </w:r>
          </w:p>
        </w:tc>
      </w:tr>
    </w:tbl>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124" w:name="_Toc51309232"/>
      <w:bookmarkStart w:id="125" w:name="_Toc71192406"/>
      <w:r>
        <w:rPr>
          <w:rFonts w:hint="eastAsia" w:ascii="Times New Roman" w:hAnsi="Times New Roman" w:eastAsia="楷体"/>
          <w:bCs w:val="0"/>
          <w:color w:val="000000" w:themeColor="text1"/>
          <w:szCs w:val="20"/>
          <w14:textFill>
            <w14:solidFill>
              <w14:schemeClr w14:val="tx1"/>
            </w14:solidFill>
          </w14:textFill>
        </w:rPr>
        <w:t>第五节 完善多元化养老服务体系</w:t>
      </w:r>
      <w:bookmarkEnd w:id="124"/>
      <w:bookmarkEnd w:id="125"/>
    </w:p>
    <w:p>
      <w:pPr>
        <w:ind w:firstLine="640" w:firstLineChars="20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大力支持养老事业发展，加快构建居家社区机构相协调、医养康养相结合的养老服务体系。统筹城区养老服务设施规划和建设，落实人均0.1平方米养老建设用地要求。推动全县社区养老服务中心建设，加快构建居家养老服务体系。积极推进传统养老模式创新，关注留守老人养老问题。强化公办养老机构托底功能，支持建设失能特困人员供养服务机构。全面放开养老服务市场，鼓励社会力量兴办养老机构，积极发展普惠性养老和互助性养老。重点发展完善社区健康养老服务和居家护理服务，探索社区和居家层面医养结合新模式。积极开发老年人力资源，支持发展银发经济。积极应对人口老龄化，落实优化生育政策，持续实施妇幼健康服务能力提升计划。至2025年，老年人日间照料中心、老年人活动中心等服务设施实现城市社区全覆盖，每千名老人拥有养老床位不低于35张</w:t>
      </w:r>
      <w:bookmarkStart w:id="126" w:name="_Toc51309233"/>
      <w:r>
        <w:rPr>
          <w:rFonts w:hint="eastAsia" w:ascii="仿宋_GB2312" w:hAnsi="华文仿宋" w:eastAsia="仿宋_GB2312"/>
          <w:color w:val="000000" w:themeColor="text1"/>
          <w:sz w:val="32"/>
          <w:szCs w:val="32"/>
          <w14:textFill>
            <w14:solidFill>
              <w14:schemeClr w14:val="tx1"/>
            </w14:solidFill>
          </w14:textFill>
        </w:rPr>
        <w:t>。</w:t>
      </w:r>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127" w:name="_Toc71192407"/>
      <w:r>
        <w:rPr>
          <w:rFonts w:ascii="Times New Roman" w:hAnsi="Times New Roman" w:eastAsia="楷体"/>
          <w:bCs w:val="0"/>
          <w:color w:val="000000" w:themeColor="text1"/>
          <w:szCs w:val="20"/>
          <w14:textFill>
            <w14:solidFill>
              <w14:schemeClr w14:val="tx1"/>
            </w14:solidFill>
          </w14:textFill>
        </w:rPr>
        <w:t>第</w:t>
      </w:r>
      <w:r>
        <w:rPr>
          <w:rFonts w:hint="eastAsia" w:ascii="Times New Roman" w:hAnsi="Times New Roman" w:eastAsia="楷体"/>
          <w:bCs w:val="0"/>
          <w:color w:val="000000" w:themeColor="text1"/>
          <w:szCs w:val="20"/>
          <w14:textFill>
            <w14:solidFill>
              <w14:schemeClr w14:val="tx1"/>
            </w14:solidFill>
          </w14:textFill>
        </w:rPr>
        <w:t>六</w:t>
      </w:r>
      <w:r>
        <w:rPr>
          <w:rFonts w:ascii="Times New Roman" w:hAnsi="Times New Roman" w:eastAsia="楷体"/>
          <w:bCs w:val="0"/>
          <w:color w:val="000000" w:themeColor="text1"/>
          <w:szCs w:val="20"/>
          <w14:textFill>
            <w14:solidFill>
              <w14:schemeClr w14:val="tx1"/>
            </w14:solidFill>
          </w14:textFill>
        </w:rPr>
        <w:t>节</w:t>
      </w:r>
      <w:r>
        <w:rPr>
          <w:rFonts w:hint="eastAsia" w:ascii="Times New Roman" w:hAnsi="Times New Roman" w:eastAsia="楷体"/>
          <w:bCs w:val="0"/>
          <w:color w:val="000000" w:themeColor="text1"/>
          <w:szCs w:val="20"/>
          <w14:textFill>
            <w14:solidFill>
              <w14:schemeClr w14:val="tx1"/>
            </w14:solidFill>
          </w14:textFill>
        </w:rPr>
        <w:t xml:space="preserve"> 做好社会救助关爱工作</w:t>
      </w:r>
      <w:bookmarkEnd w:id="126"/>
      <w:bookmarkEnd w:id="127"/>
    </w:p>
    <w:p>
      <w:pPr>
        <w:ind w:firstLine="643" w:firstLineChars="20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做好社会救助兜底工作。</w:t>
      </w:r>
      <w:r>
        <w:rPr>
          <w:rFonts w:hint="eastAsia" w:ascii="仿宋_GB2312" w:hAnsi="华文仿宋" w:eastAsia="仿宋_GB2312"/>
          <w:color w:val="000000" w:themeColor="text1"/>
          <w:sz w:val="32"/>
          <w:szCs w:val="32"/>
          <w14:textFill>
            <w14:solidFill>
              <w14:schemeClr w14:val="tx1"/>
            </w14:solidFill>
          </w14:textFill>
        </w:rPr>
        <w:t>开展精准救助，把符合条件的困难群众纳入最低生活保障和特困供养保障范围，使社会救助政策真正落实到困难群众。继续提高低保和特困供养补助标准，确保困难群众生活质量。建立临时救助备用金制度，加大临时救助工作力度，及时解决群众急难。持续加强基层民政工作，通过培训等方式进一步提高乡镇（街道）、村（社区）业务经办能力。</w:t>
      </w:r>
    </w:p>
    <w:p>
      <w:pPr>
        <w:ind w:firstLine="643" w:firstLineChars="20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完善残疾人服务保障体系。</w:t>
      </w:r>
      <w:r>
        <w:rPr>
          <w:rFonts w:hint="eastAsia" w:ascii="仿宋_GB2312" w:hAnsi="华文仿宋" w:eastAsia="仿宋_GB2312"/>
          <w:color w:val="000000" w:themeColor="text1"/>
          <w:sz w:val="32"/>
          <w:szCs w:val="32"/>
          <w14:textFill>
            <w14:solidFill>
              <w14:schemeClr w14:val="tx1"/>
            </w14:solidFill>
          </w14:textFill>
        </w:rPr>
        <w:t>全面落实残疾人各项社会福利政策。推进残疾人康复中心、特殊教育学校建设，解决未入学残疾儿童少年义务教育问题。扩大无障碍建设覆盖面，提高无障碍设施覆盖率。全面实施残疾儿童康复救助、孤残儿童和流浪乞讨残疾人救助服务，加大严重精神障碍患者救治帮扶力度。</w:t>
      </w:r>
    </w:p>
    <w:p>
      <w:pPr>
        <w:ind w:firstLine="643" w:firstLineChars="20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完善农村留守人员关爱服务体系。</w:t>
      </w:r>
      <w:r>
        <w:rPr>
          <w:rFonts w:hint="eastAsia" w:ascii="仿宋_GB2312" w:hAnsi="华文仿宋" w:eastAsia="仿宋_GB2312"/>
          <w:color w:val="000000" w:themeColor="text1"/>
          <w:sz w:val="32"/>
          <w:szCs w:val="32"/>
          <w14:textFill>
            <w14:solidFill>
              <w14:schemeClr w14:val="tx1"/>
            </w14:solidFill>
          </w14:textFill>
        </w:rPr>
        <w:t>建立联络人和定期探访制度，加强对困难家庭的高龄、失能留守老年人的关爱。建立健全农村留守儿童关爱保护和困境儿童保障工作联席会议制度，加强困境儿童和农村留守儿童关爱保障工作。开展农村留守妇女就业创业技能培训，丰富留守妇女精神文化生活，加大法律知识普及和法律援助，为适龄留守妇女免费进行“两癌”筛查。</w:t>
      </w:r>
    </w:p>
    <w:p>
      <w:pPr>
        <w:ind w:firstLine="643" w:firstLineChars="20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加强退役军人服务保障。</w:t>
      </w:r>
      <w:r>
        <w:rPr>
          <w:rFonts w:hint="eastAsia" w:ascii="仿宋_GB2312" w:hAnsi="华文仿宋" w:eastAsia="仿宋_GB2312"/>
          <w:color w:val="000000" w:themeColor="text1"/>
          <w:sz w:val="32"/>
          <w:szCs w:val="32"/>
          <w14:textFill>
            <w14:solidFill>
              <w14:schemeClr w14:val="tx1"/>
            </w14:solidFill>
          </w14:textFill>
        </w:rPr>
        <w:t>全面落实优抚安置政策，优化县、乡镇（街道）、村（社区）三级退役军人服务资源配置，做好退役军人群体的服务保障工作。完善退役军人和其他优抚对象基础数据采集工作，落实退役军人待遇保障。研究编制退役士兵教育项目，加强退伍军人就业指导服务。积极推进建设民权县烈士纪念陵园、光荣院、军休所。</w:t>
      </w:r>
    </w:p>
    <w:p>
      <w:pPr>
        <w:ind w:firstLine="643" w:firstLineChars="200"/>
        <w:jc w:val="lef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b/>
          <w:color w:val="000000" w:themeColor="text1"/>
          <w:sz w:val="32"/>
          <w:szCs w:val="32"/>
          <w14:textFill>
            <w14:solidFill>
              <w14:schemeClr w14:val="tx1"/>
            </w14:solidFill>
          </w14:textFill>
        </w:rPr>
        <w:t>完善住房保障体系。</w:t>
      </w:r>
      <w:r>
        <w:rPr>
          <w:rFonts w:hint="eastAsia" w:ascii="仿宋_GB2312" w:hAnsi="华文仿宋" w:eastAsia="仿宋_GB2312"/>
          <w:color w:val="000000" w:themeColor="text1"/>
          <w:sz w:val="32"/>
          <w:szCs w:val="32"/>
          <w14:textFill>
            <w14:solidFill>
              <w14:schemeClr w14:val="tx1"/>
            </w14:solidFill>
          </w14:textFill>
        </w:rPr>
        <w:t>加强公租房建设管理，建立多层次住房保障体系，加大对新就业无房职工和外来高学历人才保障力度。实现城镇常住人口低收入家庭住房保障全覆盖。加快农村教师周转房建设，解决特岗教师住房问题。加快推进拆迁户住房安置工作。对住房困难群体给予租房补贴。</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napToGrid w:val="0"/>
              <w:rPr>
                <w:rFonts w:ascii="宋体" w:hAnsi="宋体"/>
                <w:b/>
                <w:color w:val="000000" w:themeColor="text1"/>
                <w:szCs w:val="21"/>
                <w14:textFill>
                  <w14:solidFill>
                    <w14:schemeClr w14:val="tx1"/>
                  </w14:solidFill>
                </w14:textFill>
              </w:rPr>
            </w:pPr>
            <w:r>
              <w:rPr>
                <w:rFonts w:hint="eastAsia" w:ascii="Times New Roman" w:hAnsi="Times New Roman" w:eastAsia="黑体"/>
                <w:bCs/>
                <w:color w:val="000000" w:themeColor="text1"/>
                <w:sz w:val="24"/>
                <w:szCs w:val="24"/>
                <w14:textFill>
                  <w14:solidFill>
                    <w14:schemeClr w14:val="tx1"/>
                  </w14:solidFill>
                </w14:textFill>
              </w:rPr>
              <w:t>专栏9-3：民政重点项目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tabs>
                <w:tab w:val="left" w:pos="1478"/>
              </w:tabs>
              <w:ind w:firstLine="422" w:firstLineChars="200"/>
              <w:jc w:val="left"/>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民政事业园</w:t>
            </w:r>
            <w:r>
              <w:rPr>
                <w:rFonts w:hint="eastAsia" w:ascii="宋体" w:hAnsi="宋体"/>
                <w:color w:val="000000" w:themeColor="text1"/>
                <w:szCs w:val="21"/>
                <w14:textFill>
                  <w14:solidFill>
                    <w14:schemeClr w14:val="tx1"/>
                  </w14:solidFill>
                </w14:textFill>
              </w:rPr>
              <w:t>：位于民权县江山大道东侧，铁路北侧，占地52.64亩，总建筑面积35000多平方米。包含有民权县中心敬老院、未成年人救助保护中心、救助站、福利中心和老年人、儿童康复中心。</w:t>
            </w:r>
          </w:p>
          <w:p>
            <w:pPr>
              <w:tabs>
                <w:tab w:val="left" w:pos="1478"/>
              </w:tabs>
              <w:ind w:firstLine="422" w:firstLineChars="200"/>
              <w:jc w:val="left"/>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益海助学中心</w:t>
            </w:r>
            <w:r>
              <w:rPr>
                <w:rFonts w:hint="eastAsia" w:ascii="宋体" w:hAnsi="宋体"/>
                <w:color w:val="000000" w:themeColor="text1"/>
                <w:szCs w:val="21"/>
                <w14:textFill>
                  <w14:solidFill>
                    <w14:schemeClr w14:val="tx1"/>
                  </w14:solidFill>
                </w14:textFill>
              </w:rPr>
              <w:t>：位于民权县花园路南侧、迎宾路东侧、实验中学北侧，总建筑面积3000平方米。新建一栋三层教学楼，设餐厅、学习室、活动室、洗澡间、标准卫生间、医务室、男女生宿舍、图书室等。建成后可满足近200名孤儿生活。</w:t>
            </w:r>
          </w:p>
        </w:tc>
      </w:tr>
    </w:tbl>
    <w:p>
      <w:pPr>
        <w:ind w:firstLine="640" w:firstLineChars="200"/>
        <w:jc w:val="left"/>
        <w:rPr>
          <w:rFonts w:ascii="仿宋_GB2312" w:hAnsi="华文仿宋" w:eastAsia="仿宋_GB2312"/>
          <w:color w:val="000000" w:themeColor="text1"/>
          <w:sz w:val="32"/>
          <w:szCs w:val="32"/>
          <w14:textFill>
            <w14:solidFill>
              <w14:schemeClr w14:val="tx1"/>
            </w14:solidFill>
          </w14:textFill>
        </w:rPr>
      </w:pPr>
    </w:p>
    <w:p>
      <w:pPr>
        <w:widowControl/>
        <w:jc w:val="left"/>
        <w:rPr>
          <w:rFonts w:ascii="仿宋_GB2312" w:hAnsi="华文仿宋" w:eastAsia="仿宋_GB2312"/>
          <w:color w:val="000000" w:themeColor="text1"/>
          <w:sz w:val="32"/>
          <w:szCs w:val="32"/>
          <w14:textFill>
            <w14:solidFill>
              <w14:schemeClr w14:val="tx1"/>
            </w14:solidFill>
          </w14:textFill>
        </w:rPr>
      </w:pPr>
      <w:r>
        <w:rPr>
          <w:rFonts w:ascii="仿宋_GB2312" w:hAnsi="华文仿宋" w:eastAsia="仿宋_GB2312"/>
          <w:color w:val="000000" w:themeColor="text1"/>
          <w:sz w:val="32"/>
          <w:szCs w:val="32"/>
          <w14:textFill>
            <w14:solidFill>
              <w14:schemeClr w14:val="tx1"/>
            </w14:solidFill>
          </w14:textFill>
        </w:rPr>
        <w:br w:type="page"/>
      </w:r>
    </w:p>
    <w:p>
      <w:pPr>
        <w:pStyle w:val="2"/>
        <w:adjustRightInd w:val="0"/>
        <w:snapToGrid w:val="0"/>
        <w:spacing w:before="156" w:beforeLines="50" w:after="156" w:afterLines="50" w:line="240" w:lineRule="auto"/>
        <w:jc w:val="center"/>
        <w:rPr>
          <w:rFonts w:ascii="Times New Roman" w:hAnsi="Times New Roman" w:eastAsia="黑体"/>
          <w:b w:val="0"/>
          <w:color w:val="000000" w:themeColor="text1"/>
          <w:sz w:val="32"/>
          <w14:textFill>
            <w14:solidFill>
              <w14:schemeClr w14:val="tx1"/>
            </w14:solidFill>
          </w14:textFill>
        </w:rPr>
      </w:pPr>
      <w:bookmarkStart w:id="128" w:name="_Toc71192408"/>
      <w:r>
        <w:rPr>
          <w:rFonts w:hint="eastAsia" w:ascii="Times New Roman" w:hAnsi="Times New Roman" w:eastAsia="黑体"/>
          <w:b w:val="0"/>
          <w:color w:val="000000" w:themeColor="text1"/>
          <w:sz w:val="32"/>
          <w14:textFill>
            <w14:solidFill>
              <w14:schemeClr w14:val="tx1"/>
            </w14:solidFill>
          </w14:textFill>
        </w:rPr>
        <w:t>第十章 坚持创新驱动，培育发展新动能</w:t>
      </w:r>
      <w:bookmarkEnd w:id="128"/>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坚持科教兴县、人才强县、创新发展，完善创新体系，制定招才引智政策，优化创新创业生态，争取创新能力进入全市第一方阵。</w:t>
      </w:r>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129" w:name="_Toc65849405"/>
      <w:bookmarkStart w:id="130" w:name="_Toc71192409"/>
      <w:r>
        <w:rPr>
          <w:rFonts w:hint="eastAsia" w:ascii="Times New Roman" w:hAnsi="Times New Roman" w:eastAsia="楷体"/>
          <w:bCs w:val="0"/>
          <w:color w:val="000000" w:themeColor="text1"/>
          <w:szCs w:val="20"/>
          <w14:textFill>
            <w14:solidFill>
              <w14:schemeClr w14:val="tx1"/>
            </w14:solidFill>
          </w14:textFill>
        </w:rPr>
        <w:t>第一节 加强创新平台建设</w:t>
      </w:r>
      <w:bookmarkEnd w:id="129"/>
      <w:bookmarkEnd w:id="130"/>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积极创建国家级、省级技术创新中心、工程技术研究中心等各类研发创新平台。支持商丘一区多园，创建国家级高新区。加快与知名院校、科研院所合作，鼓励省内外科研机构、高校、创新团队、高层次人才在我县建立各类新型研发机构。发挥现有国家级、省级检测中心、国家级科技孵化器、院士工作站等创新平台的共享带动作用，支持制冷、葡萄酒、物流行业建立产业技术创新联盟，开展产业共性关键技术研发及重大科技成果产业化应用。打造技术转移平台，吸引先进技术成果在我县落地转化。推动黄河故道绿色农业示范区、现代农业产业园建设，创建省级农业科技园区（基地）。</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引导双创基地、电商创业基地有效转化，打造双创综合体、众创空间、科技企业孵化器等载体。促进农业科技创新，支持星创天地农民工返乡创业园载体建设。举办大众创业、万众创新活动，在重点行业举办专业性创新创业大赛。完善创新创业培训，营造创新创业氛围。探索与河南大学、江南大学、浙江大学合作，设立离岸孵化器，创新人才引进和培育模式，创新招商和产业孵化模式，实现本地投资、外地孵化，推动创新成果在民权实现产业化。</w:t>
      </w:r>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131" w:name="_Toc65849406"/>
      <w:bookmarkStart w:id="132" w:name="_Toc71192410"/>
      <w:r>
        <w:rPr>
          <w:rFonts w:hint="eastAsia" w:ascii="Times New Roman" w:hAnsi="Times New Roman" w:eastAsia="楷体"/>
          <w:bCs w:val="0"/>
          <w:color w:val="000000" w:themeColor="text1"/>
          <w:szCs w:val="20"/>
          <w14:textFill>
            <w14:solidFill>
              <w14:schemeClr w14:val="tx1"/>
            </w14:solidFill>
          </w14:textFill>
        </w:rPr>
        <w:t>第二节 提升企业技术创新能力</w:t>
      </w:r>
      <w:bookmarkEnd w:id="131"/>
      <w:bookmarkEnd w:id="132"/>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强化企业创新主体地位，促进创新要素向企业集聚，支持企业建立工程技术研究中心、技术开发测试中心等，引导鼓励生产基地母公司在民权设立研发设计中心。筛选一批创新主体，给予优惠支持，培育壮大创新龙头企业、高新技术企业、科技型中小企业。加强新型制冷、葡萄品种和酒种开发等共性技术平台建设，推动产业链上中下游、大中小企业融通创新。支持龙头企业组建创新联合体，推动产学研用金开放式协同创新。支持创建省节能减排科技创新示范企业。加强科技创新引导，逐年提高科技支出比重，到2025年，县财政科技支出占比达到3%以上。建立科技投入激励机制，对科技研发投入高的企业县财政给予一定奖励，鼓励中小企业增加研发投入，提升企业创新能力。</w:t>
      </w:r>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133" w:name="_Toc65849407"/>
      <w:bookmarkStart w:id="134" w:name="_Toc71192411"/>
      <w:r>
        <w:rPr>
          <w:rFonts w:hint="eastAsia" w:ascii="Times New Roman" w:hAnsi="Times New Roman" w:eastAsia="楷体"/>
          <w:bCs w:val="0"/>
          <w:color w:val="000000" w:themeColor="text1"/>
          <w:szCs w:val="20"/>
          <w14:textFill>
            <w14:solidFill>
              <w14:schemeClr w14:val="tx1"/>
            </w14:solidFill>
          </w14:textFill>
        </w:rPr>
        <w:t>第三节 建设创新人才队伍</w:t>
      </w:r>
      <w:bookmarkEnd w:id="133"/>
      <w:bookmarkEnd w:id="134"/>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大力推动“人才强县”建设，制定更加积极、更加开放、更加有效的人才政策，制定更具有可操作性的招才引智政策。充分利用招才引智服务站平台，完善人才引进绿色通道，加大招才引智力度，大力引进创新型人才和团队。发挥“民权博士团”作用，</w:t>
      </w:r>
      <w:r>
        <w:rPr>
          <w:rFonts w:hint="eastAsia" w:ascii="仿宋_GB2312" w:hAnsi="华文仿宋" w:eastAsia="仿宋_GB2312"/>
          <w:color w:val="000000" w:themeColor="text1"/>
          <w:sz w:val="32"/>
          <w:szCs w:val="32"/>
          <w:lang w:bidi="en-US"/>
          <w14:textFill>
            <w14:solidFill>
              <w14:schemeClr w14:val="tx1"/>
            </w14:solidFill>
          </w14:textFill>
        </w:rPr>
        <w:t>建设民权博士园、博士总部基地，吸引博士回乡创业。</w:t>
      </w:r>
      <w:r>
        <w:rPr>
          <w:rFonts w:hint="eastAsia" w:ascii="仿宋_GB2312" w:eastAsia="仿宋_GB2312"/>
          <w:color w:val="000000" w:themeColor="text1"/>
          <w:sz w:val="32"/>
          <w:szCs w:val="32"/>
          <w14:textFill>
            <w14:solidFill>
              <w14:schemeClr w14:val="tx1"/>
            </w14:solidFill>
          </w14:textFill>
        </w:rPr>
        <w:t>围绕主导产业和战略性新兴产业，</w:t>
      </w:r>
      <w:r>
        <w:rPr>
          <w:rFonts w:hint="eastAsia" w:ascii="仿宋_GB2312" w:hAnsi="华文仿宋" w:eastAsia="仿宋_GB2312"/>
          <w:color w:val="000000" w:themeColor="text1"/>
          <w:sz w:val="32"/>
          <w:szCs w:val="32"/>
          <w14:textFill>
            <w14:solidFill>
              <w14:schemeClr w14:val="tx1"/>
            </w14:solidFill>
          </w14:textFill>
        </w:rPr>
        <w:t>以技术转化和成果落地为核心，</w:t>
      </w:r>
      <w:r>
        <w:rPr>
          <w:rFonts w:hint="eastAsia" w:ascii="仿宋_GB2312" w:eastAsia="仿宋_GB2312"/>
          <w:color w:val="000000" w:themeColor="text1"/>
          <w:sz w:val="32"/>
          <w:szCs w:val="32"/>
          <w14:textFill>
            <w14:solidFill>
              <w14:schemeClr w14:val="tx1"/>
            </w14:solidFill>
          </w14:textFill>
        </w:rPr>
        <w:t>实施“高端人才”引进工程，实行高层次人才引进“一事一议”制度。以高层次人才核心，坚持人才与产业、团队、基金、工匠融合，促进技术成果转化，培育创新企业。加大教育科技医疗卫生领域紧缺急需专业人才引进力度，扩大校招规模，提高校招成效。加强创新应用型、技术技能型人才培养，推动制冷学院高质量发展，筹建通航、护理、农业技术学院，加快壮大工程师队伍和高技能人才队伍。健全完善人才评价激励机制和服务保障体系，加大对高素质人才、高校毕业生的支持力度，参照就业、社保、居住和落户情况，实施高层次人才、高技能人才奖励和补贴政策，强化财政对人才的投入保障。</w:t>
      </w:r>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135" w:name="_Toc71192412"/>
      <w:bookmarkStart w:id="136" w:name="_Toc65849408"/>
      <w:r>
        <w:rPr>
          <w:rFonts w:hint="eastAsia" w:ascii="Times New Roman" w:hAnsi="Times New Roman" w:eastAsia="楷体"/>
          <w:bCs w:val="0"/>
          <w:color w:val="000000" w:themeColor="text1"/>
          <w:szCs w:val="20"/>
          <w14:textFill>
            <w14:solidFill>
              <w14:schemeClr w14:val="tx1"/>
            </w14:solidFill>
          </w14:textFill>
        </w:rPr>
        <w:t>第四节 完善科技创新体制机制</w:t>
      </w:r>
      <w:bookmarkEnd w:id="135"/>
      <w:bookmarkEnd w:id="136"/>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建立健全科技创新综合服务体系和技术交易平台体系，推动科技政策与产业、财政、金融政策衔接，鼓励金融资本和民间资本投入科技产业，鼓励企业增加科技投入。深入推进科技体制改革，推动项目、平台、人才、资金一体化高效配置。加强知识产权创造、运用和保护，完善科技人才职务发明成果利益分享机制。持续推动民权县企业转型升级“六大工程”，完善高新区土地、产业、人才政策，集聚创新要素，培育创新主体，加快塑造创新发展新优势。弘扬科学精神和工匠精神，加强科普工作，推进公民科学素质建设，厚植创新沃土。</w:t>
      </w:r>
    </w:p>
    <w:p>
      <w:pPr>
        <w:widowControl/>
        <w:jc w:val="left"/>
        <w:rPr>
          <w:rFonts w:ascii="仿宋_GB2312" w:eastAsia="仿宋_GB2312"/>
          <w:color w:val="000000" w:themeColor="text1"/>
          <w:sz w:val="32"/>
          <w:szCs w:val="32"/>
          <w14:textFill>
            <w14:solidFill>
              <w14:schemeClr w14:val="tx1"/>
            </w14:solidFill>
          </w14:textFill>
        </w:rPr>
      </w:pPr>
      <w:bookmarkStart w:id="137" w:name="_Toc65849409"/>
      <w:r>
        <w:rPr>
          <w:rFonts w:ascii="仿宋_GB2312" w:eastAsia="仿宋_GB2312"/>
          <w:b/>
          <w:bCs/>
          <w:color w:val="000000" w:themeColor="text1"/>
          <w:sz w:val="32"/>
          <w:szCs w:val="32"/>
          <w14:textFill>
            <w14:solidFill>
              <w14:schemeClr w14:val="tx1"/>
            </w14:solidFill>
          </w14:textFill>
        </w:rPr>
        <w:br w:type="page"/>
      </w:r>
    </w:p>
    <w:p>
      <w:pPr>
        <w:pStyle w:val="2"/>
        <w:adjustRightInd w:val="0"/>
        <w:snapToGrid w:val="0"/>
        <w:spacing w:before="156" w:beforeLines="50" w:after="156" w:afterLines="50" w:line="240" w:lineRule="auto"/>
        <w:jc w:val="center"/>
        <w:rPr>
          <w:rFonts w:ascii="Times New Roman" w:hAnsi="Times New Roman" w:eastAsia="黑体"/>
          <w:b w:val="0"/>
          <w:color w:val="000000" w:themeColor="text1"/>
          <w:sz w:val="32"/>
          <w14:textFill>
            <w14:solidFill>
              <w14:schemeClr w14:val="tx1"/>
            </w14:solidFill>
          </w14:textFill>
        </w:rPr>
      </w:pPr>
      <w:bookmarkStart w:id="138" w:name="_Toc71192413"/>
      <w:r>
        <w:rPr>
          <w:rFonts w:hint="eastAsia" w:ascii="Times New Roman" w:hAnsi="Times New Roman" w:eastAsia="黑体"/>
          <w:b w:val="0"/>
          <w:color w:val="000000" w:themeColor="text1"/>
          <w:sz w:val="32"/>
          <w14:textFill>
            <w14:solidFill>
              <w14:schemeClr w14:val="tx1"/>
            </w14:solidFill>
          </w14:textFill>
        </w:rPr>
        <w:t>第十一章 坚持扩大内需，融入新发展格局</w:t>
      </w:r>
      <w:bookmarkEnd w:id="137"/>
      <w:bookmarkEnd w:id="138"/>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坚持把扩大内需作为战略基点，积极融入新发展格局。发挥撤县设市全局带动作用，建设区域性交通物流枢纽，合理扩大有效投资，加快消费扩容提质，畅通供给与需求互促互进、投资与消费良性互动的高效循环。</w:t>
      </w:r>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139" w:name="_Toc71192414"/>
      <w:bookmarkStart w:id="140" w:name="_Toc65849410"/>
      <w:r>
        <w:rPr>
          <w:rFonts w:hint="eastAsia" w:ascii="Times New Roman" w:hAnsi="Times New Roman" w:eastAsia="楷体"/>
          <w:bCs w:val="0"/>
          <w:color w:val="000000" w:themeColor="text1"/>
          <w:szCs w:val="20"/>
          <w14:textFill>
            <w14:solidFill>
              <w14:schemeClr w14:val="tx1"/>
            </w14:solidFill>
          </w14:textFill>
        </w:rPr>
        <w:t>第一节 发挥撤县设市带动引领</w:t>
      </w:r>
      <w:bookmarkEnd w:id="139"/>
      <w:bookmarkEnd w:id="140"/>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立足在融入新发展格局中有新作为，抢抓机遇，推动撤县设市，把撤县设市作为推动民权高质量发展的着力点、扩大内需的支撑点。发挥撤县设市全局带动引领作用，全面提升经济发展、城乡建设、交通枢纽、生态环保、区域形象优势。对照设市标准，着力促进人口转移，提高人均收入，调整经济结构，着力完善市政基础设施，提高资源环境承载能力，着力优化基本公共服务配置，促进基本公共服务优质均衡。稳步提高全县经济能级和全省位次，推动产城融合、职住平衡、生态宜居县城建设，力争实现撤县设市。</w:t>
      </w:r>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141" w:name="_Toc65849411"/>
      <w:bookmarkStart w:id="142" w:name="_Toc71192415"/>
      <w:r>
        <w:rPr>
          <w:rFonts w:hint="eastAsia" w:ascii="Times New Roman" w:hAnsi="Times New Roman" w:eastAsia="楷体"/>
          <w:bCs w:val="0"/>
          <w:color w:val="000000" w:themeColor="text1"/>
          <w:szCs w:val="20"/>
          <w14:textFill>
            <w14:solidFill>
              <w14:schemeClr w14:val="tx1"/>
            </w14:solidFill>
          </w14:textFill>
        </w:rPr>
        <w:t>第二节 合理精准扩大有效投资</w:t>
      </w:r>
      <w:bookmarkEnd w:id="141"/>
      <w:bookmarkEnd w:id="142"/>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坚持扩大内需战略，立足有效需求，把扩大内需同深化供给侧结构性改革有机结合，以高质量供给引领和创造新需求，促进供需两端共同受益。落实县域治理“三起来”重大要求，在提升中心城市品质、工业和质量强县、生态文旅强县、贯通城乡发展领域精准发力，提升供给体系对需求的适配性，巩固壮大县域高质量发展根基。扩大城镇建设投资，重点开发中心县城区域，促进县城和孙六镇一体规划建设，培育建设北关副中心镇，统筹推进镇区发展。推动新型基础设施、新型城镇化、交通水利、生态环保等一批强基础、利长远的重大工程建设。加快补齐市政设施、农业农村、公共卫生、防灾减灾、应急保障、民生保障等领域短板。</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增强制冷主导产业供应链稳定可控能力，厚植特色农业、食品工业优势，创造枢纽经济、物流服务新优势，持续改善生态和文化旅游等服务业供给质量，形成需求牵引供给、供给创造需求的高水平均衡。实施产业优化升级计划，促进企业设备更新和技术改造，扩大先进、新兴产业投资，推动产业向智能、绿色转型，提升产业长期竞争力。发挥政府投资杠杆撬动作用，充分激发民间投资活力，形成市场主导、供需动态平衡的投资内生增长机制。</w:t>
      </w:r>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143" w:name="_Toc65849412"/>
      <w:bookmarkStart w:id="144" w:name="_Toc71192416"/>
      <w:r>
        <w:rPr>
          <w:rFonts w:hint="eastAsia" w:ascii="Times New Roman" w:hAnsi="Times New Roman" w:eastAsia="楷体"/>
          <w:bCs w:val="0"/>
          <w:color w:val="000000" w:themeColor="text1"/>
          <w:szCs w:val="20"/>
          <w14:textFill>
            <w14:solidFill>
              <w14:schemeClr w14:val="tx1"/>
            </w14:solidFill>
          </w14:textFill>
        </w:rPr>
        <w:t>第三节 全面促进消费扩容提质</w:t>
      </w:r>
      <w:bookmarkEnd w:id="143"/>
      <w:bookmarkEnd w:id="144"/>
    </w:p>
    <w:p>
      <w:pPr>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扩大消费供给。</w:t>
      </w:r>
      <w:r>
        <w:rPr>
          <w:rFonts w:hint="eastAsia" w:ascii="仿宋_GB2312" w:eastAsia="仿宋_GB2312"/>
          <w:color w:val="000000" w:themeColor="text1"/>
          <w:sz w:val="32"/>
          <w:szCs w:val="32"/>
          <w14:textFill>
            <w14:solidFill>
              <w14:schemeClr w14:val="tx1"/>
            </w14:solidFill>
          </w14:textFill>
        </w:rPr>
        <w:t>增强消费对拉动县域经济发展的基础性作用，全面促进消费，提升传统消费，培育新型消费，发展服务消费，适当增加公共消费，扩大节假日消费。扩大重点商品消费，鼓励开展汽车、家电促销和以旧换新，扩充信息产品等智能消费，促进住房消费健康发展。顺应消费升级趋势，以质量和品牌为重点，促进消费向绿色、健康、智能转变，扩大黄河故道文旅康养消费。以“豫酒振兴”为契机，促进红酒经济，打造民权葡萄酒节，通过文、商、旅融合，促进红酒消费、旅游消费。大力发展夜间经济，推动夜间经济与地摊经济融合。</w:t>
      </w:r>
    </w:p>
    <w:p>
      <w:pPr>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提升消费品质。</w:t>
      </w:r>
      <w:r>
        <w:rPr>
          <w:rFonts w:hint="eastAsia" w:ascii="仿宋_GB2312" w:eastAsia="仿宋_GB2312"/>
          <w:color w:val="000000" w:themeColor="text1"/>
          <w:sz w:val="32"/>
          <w:szCs w:val="32"/>
          <w14:textFill>
            <w14:solidFill>
              <w14:schemeClr w14:val="tx1"/>
            </w14:solidFill>
          </w14:textFill>
        </w:rPr>
        <w:t>着力打造新老城区消费街区，建设新城区购物休闲街区，提升特色商业区（步行街区），规划建设社区邻里中心和乡镇村综合性服务网点。打造家政服务示范企业品牌，依托社区综合便民服务设施，统筹设置家政、养老、托育等服务内容，促进家政服务提质扩容。开办休闲农庄，把餐饮、体验与民宿相结合，打造高端进化版农家乐。丰富体育、教育消费，开发研学旅行、实践营地、特色课程等教育服务产品。健全流通体系，发展无接触交易服务，降低企业流通成本，促进线上线下消费融合。完善促消费体制机制，改善消费环境，强化消费者权益保护，畅通消费者维权通道。加强消费领域信用建设，规范发展消费信贷。</w:t>
      </w:r>
    </w:p>
    <w:p>
      <w:pPr>
        <w:ind w:firstLine="643"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提高居民消费能力。</w:t>
      </w:r>
      <w:r>
        <w:rPr>
          <w:rFonts w:ascii="仿宋_GB2312" w:eastAsia="仿宋_GB2312"/>
          <w:color w:val="000000" w:themeColor="text1"/>
          <w:sz w:val="32"/>
          <w:szCs w:val="32"/>
          <w14:textFill>
            <w14:solidFill>
              <w14:schemeClr w14:val="tx1"/>
            </w14:solidFill>
          </w14:textFill>
        </w:rPr>
        <w:t>健全工资合理增长机制，提高低收入群体收入，扩大中等收入群体。健全各类生产要素由市场决定报酬的机制，</w:t>
      </w:r>
      <w:r>
        <w:rPr>
          <w:rFonts w:hint="eastAsia" w:ascii="仿宋_GB2312" w:eastAsia="仿宋_GB2312"/>
          <w:color w:val="000000" w:themeColor="text1"/>
          <w:sz w:val="32"/>
          <w:szCs w:val="32"/>
          <w14:textFill>
            <w14:solidFill>
              <w14:schemeClr w14:val="tx1"/>
            </w14:solidFill>
          </w14:textFill>
        </w:rPr>
        <w:t>鼓励创业经营、租赁服务，拓宽经营性、财产性收入渠道，</w:t>
      </w:r>
      <w:r>
        <w:rPr>
          <w:rFonts w:ascii="仿宋_GB2312" w:eastAsia="仿宋_GB2312"/>
          <w:color w:val="000000" w:themeColor="text1"/>
          <w:sz w:val="32"/>
          <w:szCs w:val="32"/>
          <w14:textFill>
            <w14:solidFill>
              <w14:schemeClr w14:val="tx1"/>
            </w14:solidFill>
          </w14:textFill>
        </w:rPr>
        <w:t>探索通过土地、资本等要素使用权、收益权增加中低收入群体要素收入</w:t>
      </w:r>
      <w:r>
        <w:rPr>
          <w:rFonts w:hint="eastAsia" w:ascii="仿宋_GB2312" w:eastAsia="仿宋_GB2312"/>
          <w:color w:val="000000" w:themeColor="text1"/>
          <w:sz w:val="32"/>
          <w:szCs w:val="32"/>
          <w14:textFill>
            <w14:solidFill>
              <w14:schemeClr w14:val="tx1"/>
            </w14:solidFill>
          </w14:textFill>
        </w:rPr>
        <w:t>。扩大人力资本投入，强化以增加知识价值为导向的收入分配政策，提高技能人才和专业技术人员工资水平。扩大低收入家庭技能培训和就业帮扶规模，促进更多普通劳动者通过自身努力进入中等收入群体。健全农民分享集体产权收益机制，促进农民持续增收，发展劳务经济，提高农民务工收入。</w:t>
      </w:r>
      <w:r>
        <w:rPr>
          <w:rFonts w:ascii="仿宋_GB2312" w:eastAsia="仿宋_GB2312"/>
          <w:color w:val="000000" w:themeColor="text1"/>
          <w:sz w:val="32"/>
          <w:szCs w:val="32"/>
          <w14:textFill>
            <w14:solidFill>
              <w14:schemeClr w14:val="tx1"/>
            </w14:solidFill>
          </w14:textFill>
        </w:rPr>
        <w:t>合理调节过高收入，取缔非法收入</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发展</w:t>
      </w:r>
      <w:r>
        <w:rPr>
          <w:rFonts w:hint="eastAsia" w:ascii="仿宋_GB2312" w:eastAsia="仿宋_GB2312"/>
          <w:color w:val="000000" w:themeColor="text1"/>
          <w:sz w:val="32"/>
          <w:szCs w:val="32"/>
          <w14:textFill>
            <w14:solidFill>
              <w14:schemeClr w14:val="tx1"/>
            </w14:solidFill>
          </w14:textFill>
        </w:rPr>
        <w:t>福利和</w:t>
      </w:r>
      <w:r>
        <w:rPr>
          <w:rFonts w:ascii="仿宋_GB2312" w:eastAsia="仿宋_GB2312"/>
          <w:color w:val="000000" w:themeColor="text1"/>
          <w:sz w:val="32"/>
          <w:szCs w:val="32"/>
          <w14:textFill>
            <w14:solidFill>
              <w14:schemeClr w14:val="tx1"/>
            </w14:solidFill>
          </w14:textFill>
        </w:rPr>
        <w:t>慈善事业。</w:t>
      </w:r>
      <w:bookmarkStart w:id="145" w:name="_Toc65849413"/>
      <w:r>
        <w:rPr>
          <w:rFonts w:ascii="仿宋_GB2312" w:eastAsia="仿宋_GB2312"/>
          <w:b/>
          <w:bCs/>
          <w:color w:val="000000" w:themeColor="text1"/>
          <w:sz w:val="32"/>
          <w:szCs w:val="32"/>
          <w14:textFill>
            <w14:solidFill>
              <w14:schemeClr w14:val="tx1"/>
            </w14:solidFill>
          </w14:textFill>
        </w:rPr>
        <w:br w:type="page"/>
      </w:r>
    </w:p>
    <w:p>
      <w:pPr>
        <w:pStyle w:val="2"/>
        <w:adjustRightInd w:val="0"/>
        <w:snapToGrid w:val="0"/>
        <w:spacing w:before="156" w:beforeLines="50" w:after="156" w:afterLines="50" w:line="240" w:lineRule="auto"/>
        <w:jc w:val="center"/>
        <w:rPr>
          <w:rFonts w:ascii="Times New Roman" w:hAnsi="Times New Roman" w:eastAsia="黑体"/>
          <w:b w:val="0"/>
          <w:color w:val="000000" w:themeColor="text1"/>
          <w:sz w:val="32"/>
          <w14:textFill>
            <w14:solidFill>
              <w14:schemeClr w14:val="tx1"/>
            </w14:solidFill>
          </w14:textFill>
        </w:rPr>
      </w:pPr>
      <w:bookmarkStart w:id="146" w:name="_Toc71192417"/>
      <w:r>
        <w:rPr>
          <w:rFonts w:hint="eastAsia" w:ascii="Times New Roman" w:hAnsi="Times New Roman" w:eastAsia="黑体"/>
          <w:b w:val="0"/>
          <w:color w:val="000000" w:themeColor="text1"/>
          <w:sz w:val="32"/>
          <w14:textFill>
            <w14:solidFill>
              <w14:schemeClr w14:val="tx1"/>
            </w14:solidFill>
          </w14:textFill>
        </w:rPr>
        <w:t>第十二章 实行更高水平开放，拓展开放合作空间</w:t>
      </w:r>
      <w:bookmarkEnd w:id="145"/>
      <w:bookmarkEnd w:id="146"/>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实施更加积极主动的开放带动战略，深入融入“一带一路”建设。扩大对内合作，提升招商引资质量效益。坚持高质量引进来和高水平走出去，全方位拓展开放发展新空间。</w:t>
      </w:r>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147" w:name="_Toc65849414"/>
      <w:bookmarkStart w:id="148" w:name="_Toc71192418"/>
      <w:r>
        <w:rPr>
          <w:rFonts w:hint="eastAsia" w:ascii="Times New Roman" w:hAnsi="Times New Roman" w:eastAsia="楷体"/>
          <w:bCs w:val="0"/>
          <w:color w:val="000000" w:themeColor="text1"/>
          <w:szCs w:val="20"/>
          <w14:textFill>
            <w14:solidFill>
              <w14:schemeClr w14:val="tx1"/>
            </w14:solidFill>
          </w14:textFill>
        </w:rPr>
        <w:t>第一节 积极融入“一带一路”</w:t>
      </w:r>
      <w:bookmarkEnd w:id="147"/>
      <w:bookmarkEnd w:id="148"/>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深度融入“一带一路”、西部陆海新通道、河南自由贸易区建设，积极争取成为省自贸区联动发展区，</w:t>
      </w:r>
      <w:r>
        <w:rPr>
          <w:rFonts w:ascii="仿宋_GB2312" w:eastAsia="仿宋_GB2312"/>
          <w:bCs/>
          <w:color w:val="000000" w:themeColor="text1"/>
          <w:sz w:val="32"/>
          <w:szCs w:val="32"/>
          <w14:textFill>
            <w14:solidFill>
              <w14:schemeClr w14:val="tx1"/>
            </w14:solidFill>
          </w14:textFill>
        </w:rPr>
        <w:t>加强与</w:t>
      </w:r>
      <w:r>
        <w:rPr>
          <w:rFonts w:hint="eastAsia" w:ascii="仿宋_GB2312" w:eastAsia="仿宋_GB2312"/>
          <w:bCs/>
          <w:color w:val="000000" w:themeColor="text1"/>
          <w:sz w:val="32"/>
          <w:szCs w:val="32"/>
          <w14:textFill>
            <w14:solidFill>
              <w14:schemeClr w14:val="tx1"/>
            </w14:solidFill>
          </w14:textFill>
        </w:rPr>
        <w:t>“</w:t>
      </w:r>
      <w:r>
        <w:rPr>
          <w:rFonts w:ascii="仿宋_GB2312" w:eastAsia="仿宋_GB2312"/>
          <w:bCs/>
          <w:color w:val="000000" w:themeColor="text1"/>
          <w:sz w:val="32"/>
          <w:szCs w:val="32"/>
          <w14:textFill>
            <w14:solidFill>
              <w14:schemeClr w14:val="tx1"/>
            </w14:solidFill>
          </w14:textFill>
        </w:rPr>
        <w:t>陆上丝绸之路</w:t>
      </w:r>
      <w:r>
        <w:rPr>
          <w:rFonts w:hint="eastAsia" w:ascii="仿宋_GB2312" w:eastAsia="仿宋_GB2312"/>
          <w:bCs/>
          <w:color w:val="000000" w:themeColor="text1"/>
          <w:sz w:val="32"/>
          <w:szCs w:val="32"/>
          <w14:textFill>
            <w14:solidFill>
              <w14:schemeClr w14:val="tx1"/>
            </w14:solidFill>
          </w14:textFill>
        </w:rPr>
        <w:t>”“</w:t>
      </w:r>
      <w:r>
        <w:rPr>
          <w:rFonts w:ascii="仿宋_GB2312" w:eastAsia="仿宋_GB2312"/>
          <w:bCs/>
          <w:color w:val="000000" w:themeColor="text1"/>
          <w:sz w:val="32"/>
          <w:szCs w:val="32"/>
          <w14:textFill>
            <w14:solidFill>
              <w14:schemeClr w14:val="tx1"/>
            </w14:solidFill>
          </w14:textFill>
        </w:rPr>
        <w:t>海上丝绸之路</w:t>
      </w:r>
      <w:r>
        <w:rPr>
          <w:rFonts w:hint="eastAsia" w:ascii="仿宋_GB2312" w:eastAsia="仿宋_GB2312"/>
          <w:bCs/>
          <w:color w:val="000000" w:themeColor="text1"/>
          <w:sz w:val="32"/>
          <w:szCs w:val="32"/>
          <w14:textFill>
            <w14:solidFill>
              <w14:schemeClr w14:val="tx1"/>
            </w14:solidFill>
          </w14:textFill>
        </w:rPr>
        <w:t>”</w:t>
      </w:r>
      <w:r>
        <w:rPr>
          <w:rFonts w:ascii="仿宋_GB2312" w:eastAsia="仿宋_GB2312"/>
          <w:bCs/>
          <w:color w:val="000000" w:themeColor="text1"/>
          <w:sz w:val="32"/>
          <w:szCs w:val="32"/>
          <w14:textFill>
            <w14:solidFill>
              <w14:schemeClr w14:val="tx1"/>
            </w14:solidFill>
          </w14:textFill>
        </w:rPr>
        <w:t>联动发展</w:t>
      </w:r>
      <w:r>
        <w:rPr>
          <w:rFonts w:hint="eastAsia" w:ascii="仿宋_GB2312" w:eastAsia="仿宋_GB2312"/>
          <w:bCs/>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围绕保税物流中心，推动公铁、铁海联运，</w:t>
      </w:r>
      <w:r>
        <w:rPr>
          <w:rFonts w:ascii="仿宋_GB2312" w:eastAsia="仿宋_GB2312"/>
          <w:color w:val="000000" w:themeColor="text1"/>
          <w:sz w:val="32"/>
          <w:szCs w:val="32"/>
          <w14:textFill>
            <w14:solidFill>
              <w14:schemeClr w14:val="tx1"/>
            </w14:solidFill>
          </w14:textFill>
        </w:rPr>
        <w:t>加快推进加工贸易梯度转移承接地建设</w:t>
      </w:r>
      <w:r>
        <w:rPr>
          <w:rFonts w:hint="eastAsia" w:ascii="仿宋_GB2312" w:eastAsia="仿宋_GB2312"/>
          <w:color w:val="000000" w:themeColor="text1"/>
          <w:sz w:val="32"/>
          <w:szCs w:val="32"/>
          <w14:textFill>
            <w14:solidFill>
              <w14:schemeClr w14:val="tx1"/>
            </w14:solidFill>
          </w14:textFill>
        </w:rPr>
        <w:t>，打造豫东贸易双循环重要节点。</w:t>
      </w:r>
      <w:r>
        <w:rPr>
          <w:rFonts w:ascii="仿宋_GB2312" w:eastAsia="仿宋_GB2312"/>
          <w:bCs/>
          <w:color w:val="000000" w:themeColor="text1"/>
          <w:sz w:val="32"/>
          <w:szCs w:val="32"/>
          <w14:textFill>
            <w14:solidFill>
              <w14:schemeClr w14:val="tx1"/>
            </w14:solidFill>
          </w14:textFill>
        </w:rPr>
        <w:t>畅通</w:t>
      </w:r>
      <w:r>
        <w:rPr>
          <w:rFonts w:hint="eastAsia" w:ascii="仿宋_GB2312" w:eastAsia="仿宋_GB2312"/>
          <w:bCs/>
          <w:color w:val="000000" w:themeColor="text1"/>
          <w:sz w:val="32"/>
          <w:szCs w:val="32"/>
          <w14:textFill>
            <w14:solidFill>
              <w14:schemeClr w14:val="tx1"/>
            </w14:solidFill>
          </w14:textFill>
        </w:rPr>
        <w:t>“</w:t>
      </w:r>
      <w:r>
        <w:rPr>
          <w:rFonts w:ascii="仿宋_GB2312" w:eastAsia="仿宋_GB2312"/>
          <w:bCs/>
          <w:color w:val="000000" w:themeColor="text1"/>
          <w:sz w:val="32"/>
          <w:szCs w:val="32"/>
          <w14:textFill>
            <w14:solidFill>
              <w14:schemeClr w14:val="tx1"/>
            </w14:solidFill>
          </w14:textFill>
        </w:rPr>
        <w:t>网上丝绸之路</w:t>
      </w:r>
      <w:r>
        <w:rPr>
          <w:rFonts w:hint="eastAsia" w:ascii="仿宋_GB2312" w:eastAsia="仿宋_GB2312"/>
          <w:bCs/>
          <w:color w:val="000000" w:themeColor="text1"/>
          <w:sz w:val="32"/>
          <w:szCs w:val="32"/>
          <w14:textFill>
            <w14:solidFill>
              <w14:schemeClr w14:val="tx1"/>
            </w14:solidFill>
          </w14:textFill>
        </w:rPr>
        <w:t>”</w:t>
      </w:r>
      <w:r>
        <w:rPr>
          <w:rFonts w:ascii="仿宋_GB2312" w:eastAsia="仿宋_GB2312"/>
          <w:bCs/>
          <w:color w:val="000000" w:themeColor="text1"/>
          <w:sz w:val="32"/>
          <w:szCs w:val="32"/>
          <w14:textFill>
            <w14:solidFill>
              <w14:schemeClr w14:val="tx1"/>
            </w14:solidFill>
          </w14:textFill>
        </w:rPr>
        <w:t>，</w:t>
      </w:r>
      <w:r>
        <w:rPr>
          <w:rFonts w:hint="eastAsia" w:ascii="仿宋_GB2312" w:eastAsia="仿宋_GB2312"/>
          <w:bCs/>
          <w:color w:val="000000" w:themeColor="text1"/>
          <w:sz w:val="32"/>
          <w:szCs w:val="32"/>
          <w14:textFill>
            <w14:solidFill>
              <w14:schemeClr w14:val="tx1"/>
            </w14:solidFill>
          </w14:textFill>
        </w:rPr>
        <w:t>建设</w:t>
      </w:r>
      <w:r>
        <w:rPr>
          <w:rFonts w:ascii="仿宋_GB2312" w:eastAsia="仿宋_GB2312"/>
          <w:bCs/>
          <w:color w:val="000000" w:themeColor="text1"/>
          <w:sz w:val="32"/>
          <w:szCs w:val="32"/>
          <w14:textFill>
            <w14:solidFill>
              <w14:schemeClr w14:val="tx1"/>
            </w14:solidFill>
          </w14:textFill>
        </w:rPr>
        <w:t>跨境电商产业园</w:t>
      </w:r>
      <w:r>
        <w:rPr>
          <w:rFonts w:hint="eastAsia" w:ascii="仿宋_GB2312" w:eastAsia="仿宋_GB2312"/>
          <w:bCs/>
          <w:color w:val="000000" w:themeColor="text1"/>
          <w:sz w:val="32"/>
          <w:szCs w:val="32"/>
          <w14:textFill>
            <w14:solidFill>
              <w14:schemeClr w14:val="tx1"/>
            </w14:solidFill>
          </w14:textFill>
        </w:rPr>
        <w:t>，推动电商</w:t>
      </w:r>
      <w:r>
        <w:rPr>
          <w:rFonts w:ascii="仿宋_GB2312" w:eastAsia="仿宋_GB2312"/>
          <w:bCs/>
          <w:color w:val="000000" w:themeColor="text1"/>
          <w:sz w:val="32"/>
          <w:szCs w:val="32"/>
          <w14:textFill>
            <w14:solidFill>
              <w14:schemeClr w14:val="tx1"/>
            </w14:solidFill>
          </w14:textFill>
        </w:rPr>
        <w:t>集群发展。</w:t>
      </w:r>
      <w:r>
        <w:rPr>
          <w:rFonts w:hint="eastAsia" w:ascii="仿宋_GB2312" w:eastAsia="仿宋_GB2312"/>
          <w:color w:val="000000" w:themeColor="text1"/>
          <w:sz w:val="32"/>
          <w:szCs w:val="32"/>
          <w14:textFill>
            <w14:solidFill>
              <w14:schemeClr w14:val="tx1"/>
            </w14:solidFill>
          </w14:textFill>
        </w:rPr>
        <w:t>促进高水平走出去，引导优势企业和特色农产品企业与“一带一路”沿线地区开展商贸合作，帮助出口企业参加境内外会展，推进万宝、香雪海、嘉祥袋业等企业扩大出口规模，积极打造民权出口特色和出口品牌。扩大外资、外贸规模，争取年度利用外资5000万美元，年度进出口总额稳步增加至8.5亿元，“十四五”期间引进培育外贸出口企业70家。</w:t>
      </w:r>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149" w:name="_Toc71192419"/>
      <w:bookmarkStart w:id="150" w:name="_Toc65849415"/>
      <w:r>
        <w:rPr>
          <w:rFonts w:hint="eastAsia" w:ascii="Times New Roman" w:hAnsi="Times New Roman" w:eastAsia="楷体"/>
          <w:bCs w:val="0"/>
          <w:color w:val="000000" w:themeColor="text1"/>
          <w:szCs w:val="20"/>
          <w14:textFill>
            <w14:solidFill>
              <w14:schemeClr w14:val="tx1"/>
            </w14:solidFill>
          </w14:textFill>
        </w:rPr>
        <w:t>第二节 拓展开放合作空间</w:t>
      </w:r>
      <w:bookmarkEnd w:id="149"/>
      <w:bookmarkEnd w:id="150"/>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主动对接融入黄河流域生态保护和高质量发展、中部崛起等重大国家战略，全面深化与京津冀、长三角、粤港澳大湾区合作，大力承接优质产业、产能转移。积极联动商丘机场、永城通航机场发展临空经济。加快申报民权综合保税区，加强与郑州、连云港、商丘（申建中）综合保税区等开放高地对接协作。发挥开放合作网络优势，优化两个市场布局和商品结构，增加优质产品进口，提升出口产品质量，扩大民权在双循环格局中的特色和优势。加强与周边县域产业合作，加快建设商丘西部区域流通中心，扩大经济辐射空间。</w:t>
      </w:r>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151" w:name="_Toc71192420"/>
      <w:bookmarkStart w:id="152" w:name="_Toc65849416"/>
      <w:r>
        <w:rPr>
          <w:rFonts w:hint="eastAsia" w:ascii="Times New Roman" w:hAnsi="Times New Roman" w:eastAsia="楷体"/>
          <w:bCs w:val="0"/>
          <w:color w:val="000000" w:themeColor="text1"/>
          <w:szCs w:val="20"/>
          <w14:textFill>
            <w14:solidFill>
              <w14:schemeClr w14:val="tx1"/>
            </w14:solidFill>
          </w14:textFill>
        </w:rPr>
        <w:t>第三节 持续加大招商力度</w:t>
      </w:r>
      <w:bookmarkEnd w:id="151"/>
      <w:bookmarkEnd w:id="152"/>
    </w:p>
    <w:p>
      <w:pPr>
        <w:widowControl/>
        <w:shd w:val="clear" w:color="auto" w:fill="FFFFFF"/>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突出“一区四园”和特色商业区载体招商，统筹乡镇工业园招商。“十四五”期间，力争落地合同投资额3亿元以上项目30个以上。坚持专业化集群化招商，增强产业链韧性。坚持以商招商，发挥企业中介作用。利用节会招商，办好制冷装备博览会，筹办国家级行业年会，组织参加中国家电协会等节会招商。支持引导亲情招商，促进返乡创业。选派优秀干部，实施驻地招商。探索“飞地招商”“专业园整体招商”“综合保税中心申建招商”。</w:t>
      </w:r>
    </w:p>
    <w:p>
      <w:pPr>
        <w:widowControl/>
        <w:shd w:val="clear" w:color="auto" w:fill="FFFFFF"/>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制定招商图谱，突出新型制冷装备、绿色食品、农副产品深加工和先进新兴制造产业招商，支持引进农业产业化龙头企业，鼓励引进物流贸易、生态文旅、通用航空等高端服务业项目。积极融入河南省、商丘市重大产业链建设项目，推动半导体、新能源及网联汽车、智能传感器、智能终端、智能制造、新材料等制造项目入驻，培育高质量潜导产业。围绕聚链、强链、延链，着力引进新型创意家电、智能家电等家庭智能化项目，着力引进大型食品加工、跨境电商和加工贸易项目，着力引进高科技、高税收电子制造项目。促进铝精深加工、节能环保、生态治理项目引进。</w:t>
      </w:r>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153" w:name="_Toc71192421"/>
      <w:bookmarkStart w:id="154" w:name="_Toc65849417"/>
      <w:r>
        <w:rPr>
          <w:rFonts w:hint="eastAsia" w:ascii="Times New Roman" w:hAnsi="Times New Roman" w:eastAsia="楷体"/>
          <w:bCs w:val="0"/>
          <w:color w:val="000000" w:themeColor="text1"/>
          <w:szCs w:val="20"/>
          <w14:textFill>
            <w14:solidFill>
              <w14:schemeClr w14:val="tx1"/>
            </w14:solidFill>
          </w14:textFill>
        </w:rPr>
        <w:t>第四节 提高招商引资质量</w:t>
      </w:r>
      <w:bookmarkEnd w:id="153"/>
      <w:bookmarkEnd w:id="154"/>
    </w:p>
    <w:p>
      <w:pPr>
        <w:widowControl/>
        <w:shd w:val="clear" w:color="auto" w:fill="FFFFFF"/>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坚持重大项目县领导对接精准招商，提高招商成效。强化招商服务，实行县领导招商引资“五个一”目标管理机制和招商项目“四个一”服务机制。强化项目融资机制，推进银企交流对接。强化项目推进机制，提升项目履约率、开工率、投产率。重新制定招商优惠政策，优化财政税收政策，根据投资、税收和创新贡献，给予奖励、补贴和贴息。聚力招大引强，制定重大招商项目“一事一议”政策。优化招商模式，由单一招商向引资、引技、引智并重转变，共建产业转移示范园区。坚决杜绝“散乱污”企业入园，杜绝高污染、高耗能项目。</w:t>
      </w:r>
    </w:p>
    <w:p>
      <w:pPr>
        <w:widowControl/>
        <w:jc w:val="left"/>
        <w:rPr>
          <w:rFonts w:ascii="仿宋_GB2312" w:eastAsia="仿宋_GB2312"/>
          <w:color w:val="000000" w:themeColor="text1"/>
          <w:sz w:val="32"/>
          <w:szCs w:val="32"/>
          <w14:textFill>
            <w14:solidFill>
              <w14:schemeClr w14:val="tx1"/>
            </w14:solidFill>
          </w14:textFill>
        </w:rPr>
      </w:pPr>
      <w:bookmarkStart w:id="155" w:name="_Toc65849418"/>
      <w:r>
        <w:rPr>
          <w:rFonts w:ascii="仿宋_GB2312" w:eastAsia="仿宋_GB2312"/>
          <w:b/>
          <w:bCs/>
          <w:color w:val="000000" w:themeColor="text1"/>
          <w:sz w:val="32"/>
          <w:szCs w:val="32"/>
          <w14:textFill>
            <w14:solidFill>
              <w14:schemeClr w14:val="tx1"/>
            </w14:solidFill>
          </w14:textFill>
        </w:rPr>
        <w:br w:type="page"/>
      </w:r>
    </w:p>
    <w:p>
      <w:pPr>
        <w:pStyle w:val="2"/>
        <w:adjustRightInd w:val="0"/>
        <w:snapToGrid w:val="0"/>
        <w:spacing w:before="156" w:beforeLines="50" w:after="156" w:afterLines="50" w:line="240" w:lineRule="auto"/>
        <w:jc w:val="center"/>
        <w:rPr>
          <w:rFonts w:ascii="Times New Roman" w:hAnsi="Times New Roman" w:eastAsia="黑体"/>
          <w:b w:val="0"/>
          <w:color w:val="000000" w:themeColor="text1"/>
          <w:sz w:val="32"/>
          <w14:textFill>
            <w14:solidFill>
              <w14:schemeClr w14:val="tx1"/>
            </w14:solidFill>
          </w14:textFill>
        </w:rPr>
      </w:pPr>
      <w:bookmarkStart w:id="156" w:name="_Toc71192422"/>
      <w:r>
        <w:rPr>
          <w:rFonts w:hint="eastAsia" w:ascii="Times New Roman" w:hAnsi="Times New Roman" w:eastAsia="黑体"/>
          <w:b w:val="0"/>
          <w:color w:val="000000" w:themeColor="text1"/>
          <w:sz w:val="32"/>
          <w14:textFill>
            <w14:solidFill>
              <w14:schemeClr w14:val="tx1"/>
            </w14:solidFill>
          </w14:textFill>
        </w:rPr>
        <w:t>第十三章 全面深化改革，增强发展活力</w:t>
      </w:r>
      <w:bookmarkEnd w:id="155"/>
      <w:bookmarkEnd w:id="156"/>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深化重点领域和关键环节改革，充分发挥市场在资源配置中的决定性作用，更好发挥政府作用，推动有效市场和有为政府更好结合，建立优化营商环境长效机制。</w:t>
      </w:r>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157" w:name="_Toc71192423"/>
      <w:bookmarkStart w:id="158" w:name="_Toc65849419"/>
      <w:r>
        <w:rPr>
          <w:rFonts w:hint="eastAsia" w:ascii="Times New Roman" w:hAnsi="Times New Roman" w:eastAsia="楷体"/>
          <w:bCs w:val="0"/>
          <w:color w:val="000000" w:themeColor="text1"/>
          <w:szCs w:val="20"/>
          <w14:textFill>
            <w14:solidFill>
              <w14:schemeClr w14:val="tx1"/>
            </w14:solidFill>
          </w14:textFill>
        </w:rPr>
        <w:t>第一节 激发市场主体活力</w:t>
      </w:r>
      <w:bookmarkEnd w:id="157"/>
      <w:bookmarkEnd w:id="158"/>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深化国有投资运营公司改革，打造功能清晰、管理规范、充满活力的国有资本投资和运营主体。鼓励、支持、引导民营经济发展，持续放宽基础设施、社会事业、服务业等重点领域市场准入。完善促进民营企业、中小微企业发展的政策体系，增加面向民营企业和小微企业的融资增信和直接融资支持等金融服务供给，</w:t>
      </w:r>
      <w:r>
        <w:rPr>
          <w:rFonts w:hint="eastAsia" w:ascii="仿宋_GB2312" w:hAnsi="华文仿宋" w:eastAsia="仿宋_GB2312"/>
          <w:color w:val="000000" w:themeColor="text1"/>
          <w:sz w:val="32"/>
          <w:szCs w:val="32"/>
          <w14:textFill>
            <w14:solidFill>
              <w14:schemeClr w14:val="tx1"/>
            </w14:solidFill>
          </w14:textFill>
        </w:rPr>
        <w:t>开展民营小微企业金融服务行动，</w:t>
      </w:r>
      <w:r>
        <w:rPr>
          <w:rFonts w:hint="eastAsia" w:ascii="仿宋_GB2312" w:eastAsia="仿宋_GB2312"/>
          <w:color w:val="000000" w:themeColor="text1"/>
          <w:sz w:val="32"/>
          <w:szCs w:val="32"/>
          <w14:textFill>
            <w14:solidFill>
              <w14:schemeClr w14:val="tx1"/>
            </w14:solidFill>
          </w14:textFill>
        </w:rPr>
        <w:t>创新发展普惠金融，支持个体工商户发展。</w:t>
      </w:r>
      <w:r>
        <w:rPr>
          <w:rFonts w:hint="eastAsia" w:ascii="仿宋_GB2312" w:hAnsi="华文仿宋" w:eastAsia="仿宋_GB2312"/>
          <w:color w:val="000000" w:themeColor="text1"/>
          <w:sz w:val="32"/>
          <w:szCs w:val="32"/>
          <w14:textFill>
            <w14:solidFill>
              <w14:schemeClr w14:val="tx1"/>
            </w14:solidFill>
          </w14:textFill>
        </w:rPr>
        <w:t>稳步提升金融业本地存贷比、中长期贷款比，推行规上企业主办银行机制。</w:t>
      </w:r>
      <w:r>
        <w:rPr>
          <w:rFonts w:hint="eastAsia" w:ascii="仿宋_GB2312" w:eastAsia="仿宋_GB2312"/>
          <w:color w:val="000000" w:themeColor="text1"/>
          <w:sz w:val="32"/>
          <w:szCs w:val="32"/>
          <w14:textFill>
            <w14:solidFill>
              <w14:schemeClr w14:val="tx1"/>
            </w14:solidFill>
          </w14:textFill>
        </w:rPr>
        <w:t>激发弘扬企业家精神和新时代豫商精神，加强企业家培训，提高经营管理能力，引导企业诚信经营，引导企业聚精会神办实业。开展民营经济“两个健康”行动和“一联三帮”保企稳业专项行动，建立规范化政企沟通渠道，完善企业全生命周期服务模式和服务链条，提供更直接更有效的政策帮扶。</w:t>
      </w:r>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159" w:name="_Toc71192424"/>
      <w:bookmarkStart w:id="160" w:name="_Toc65849420"/>
      <w:bookmarkStart w:id="161" w:name="_Toc25186"/>
      <w:r>
        <w:rPr>
          <w:rFonts w:hint="eastAsia" w:ascii="Times New Roman" w:hAnsi="Times New Roman" w:eastAsia="楷体"/>
          <w:bCs w:val="0"/>
          <w:color w:val="000000" w:themeColor="text1"/>
          <w:szCs w:val="20"/>
          <w14:textFill>
            <w14:solidFill>
              <w14:schemeClr w14:val="tx1"/>
            </w14:solidFill>
          </w14:textFill>
        </w:rPr>
        <w:t>第二节 推进要素配置市场化改革</w:t>
      </w:r>
      <w:bookmarkEnd w:id="159"/>
      <w:bookmarkEnd w:id="160"/>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加快建设城乡统一的建设用地市场，完善城镇建设用地价格形成机制。深化产业用地市场化配置改革，</w:t>
      </w:r>
      <w:r>
        <w:rPr>
          <w:rFonts w:hint="eastAsia" w:ascii="仿宋_GB2312" w:hAnsi="华文仿宋" w:eastAsia="仿宋_GB2312"/>
          <w:color w:val="000000" w:themeColor="text1"/>
          <w:sz w:val="32"/>
          <w:szCs w:val="32"/>
          <w14:textFill>
            <w14:solidFill>
              <w14:schemeClr w14:val="tx1"/>
            </w14:solidFill>
          </w14:textFill>
        </w:rPr>
        <w:t>推广“标准地”出让</w:t>
      </w:r>
      <w:r>
        <w:rPr>
          <w:rFonts w:hint="eastAsia" w:ascii="仿宋_GB2312" w:eastAsia="仿宋_GB2312"/>
          <w:color w:val="000000" w:themeColor="text1"/>
          <w:sz w:val="32"/>
          <w:szCs w:val="32"/>
          <w14:textFill>
            <w14:solidFill>
              <w14:schemeClr w14:val="tx1"/>
            </w14:solidFill>
          </w14:textFill>
        </w:rPr>
        <w:t>，增加混合产业用地供给。</w:t>
      </w:r>
      <w:r>
        <w:rPr>
          <w:rFonts w:hint="eastAsia" w:ascii="仿宋_GB2312" w:hAnsi="华文仿宋" w:eastAsia="仿宋_GB2312"/>
          <w:color w:val="000000" w:themeColor="text1"/>
          <w:sz w:val="32"/>
          <w:szCs w:val="32"/>
          <w14:textFill>
            <w14:solidFill>
              <w14:schemeClr w14:val="tx1"/>
            </w14:solidFill>
          </w14:textFill>
        </w:rPr>
        <w:t>建立工业用地收储制度，</w:t>
      </w:r>
      <w:r>
        <w:rPr>
          <w:rFonts w:hint="eastAsia" w:ascii="仿宋_GB2312" w:eastAsia="仿宋_GB2312"/>
          <w:color w:val="000000" w:themeColor="text1"/>
          <w:sz w:val="32"/>
          <w:szCs w:val="32"/>
          <w14:textFill>
            <w14:solidFill>
              <w14:schemeClr w14:val="tx1"/>
            </w14:solidFill>
          </w14:textFill>
        </w:rPr>
        <w:t>创新存量土地和低效用地盘活利用机制。</w:t>
      </w:r>
      <w:r>
        <w:rPr>
          <w:rFonts w:hint="eastAsia" w:ascii="仿宋_GB2312" w:hAnsi="华文仿宋" w:eastAsia="仿宋_GB2312"/>
          <w:color w:val="000000" w:themeColor="text1"/>
          <w:sz w:val="32"/>
          <w:szCs w:val="32"/>
          <w14:textFill>
            <w14:solidFill>
              <w14:schemeClr w14:val="tx1"/>
            </w14:solidFill>
          </w14:textFill>
        </w:rPr>
        <w:t>推动城乡要素平等交换、双向流动，</w:t>
      </w:r>
      <w:r>
        <w:rPr>
          <w:rFonts w:hint="eastAsia" w:ascii="仿宋_GB2312" w:eastAsia="仿宋_GB2312"/>
          <w:color w:val="000000" w:themeColor="text1"/>
          <w:sz w:val="32"/>
          <w:szCs w:val="32"/>
          <w14:textFill>
            <w14:solidFill>
              <w14:schemeClr w14:val="tx1"/>
            </w14:solidFill>
          </w14:textFill>
        </w:rPr>
        <w:t>用好增减政策，推进人地挂钩工作，进一步推动全域、整村国土综合整治。畅通劳动力和人才要素流动渠道，完善协调衔接的政策体系和交流合作机制。探索设立推动县城经济发展专项基金，重点支持民权农商银行继续发挥服务三农和小微企业优势。积极引入全国性股份制商业银行入驻民权，探索设立小贷公司等类金融机构。</w:t>
      </w:r>
      <w:bookmarkEnd w:id="161"/>
      <w:r>
        <w:rPr>
          <w:rFonts w:hint="eastAsia" w:ascii="仿宋_GB2312" w:eastAsia="仿宋_GB2312"/>
          <w:color w:val="000000" w:themeColor="text1"/>
          <w:sz w:val="32"/>
          <w:szCs w:val="32"/>
          <w14:textFill>
            <w14:solidFill>
              <w14:schemeClr w14:val="tx1"/>
            </w14:solidFill>
          </w14:textFill>
        </w:rPr>
        <w:t>辅导、培育上市企业和新三板企业，提高直接融资比重。推动数据资源共享和开发利用，培育数据要素市场。</w:t>
      </w:r>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162" w:name="_Toc65849421"/>
      <w:bookmarkStart w:id="163" w:name="_Toc71192425"/>
      <w:r>
        <w:rPr>
          <w:rFonts w:hint="eastAsia" w:ascii="Times New Roman" w:hAnsi="Times New Roman" w:eastAsia="楷体"/>
          <w:bCs w:val="0"/>
          <w:color w:val="000000" w:themeColor="text1"/>
          <w:szCs w:val="20"/>
          <w14:textFill>
            <w14:solidFill>
              <w14:schemeClr w14:val="tx1"/>
            </w14:solidFill>
          </w14:textFill>
        </w:rPr>
        <w:t>第三节 加快提升政府</w:t>
      </w:r>
      <w:bookmarkEnd w:id="162"/>
      <w:r>
        <w:rPr>
          <w:rFonts w:hint="eastAsia" w:ascii="Times New Roman" w:hAnsi="Times New Roman" w:eastAsia="楷体"/>
          <w:bCs w:val="0"/>
          <w:color w:val="000000" w:themeColor="text1"/>
          <w:szCs w:val="20"/>
          <w14:textFill>
            <w14:solidFill>
              <w14:schemeClr w14:val="tx1"/>
            </w14:solidFill>
          </w14:textFill>
        </w:rPr>
        <w:t>治理效能</w:t>
      </w:r>
      <w:bookmarkEnd w:id="163"/>
    </w:p>
    <w:p>
      <w:pPr>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加快转变政府职能。</w:t>
      </w:r>
      <w:r>
        <w:rPr>
          <w:rFonts w:hint="eastAsia" w:ascii="仿宋_GB2312" w:eastAsia="仿宋_GB2312"/>
          <w:color w:val="000000" w:themeColor="text1"/>
          <w:sz w:val="32"/>
          <w:szCs w:val="32"/>
          <w14:textFill>
            <w14:solidFill>
              <w14:schemeClr w14:val="tx1"/>
            </w14:solidFill>
          </w14:textFill>
        </w:rPr>
        <w:t>完善职责明确、依法行政的政府治理体系，纵深推进“放管服”改革。推进权责清单标准化规范化建设，明确监管部门、事项、措施、流程等，健全权责清单动态管理机制，加强权责清单执行情况监督问责。深化政务公开，推进政务服务标准化、规范化、便利化。加强事中事后监管，对新产业新业态实行包容审慎监管。健全重大政策事前评估和事后评价制度，提高决策科学化、民主化、法治化水平。</w:t>
      </w:r>
    </w:p>
    <w:p>
      <w:pPr>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加强和改进行政执法。</w:t>
      </w:r>
      <w:r>
        <w:rPr>
          <w:rFonts w:hint="eastAsia" w:ascii="仿宋_GB2312" w:eastAsia="仿宋_GB2312"/>
          <w:color w:val="000000" w:themeColor="text1"/>
          <w:sz w:val="32"/>
          <w:szCs w:val="32"/>
          <w14:textFill>
            <w14:solidFill>
              <w14:schemeClr w14:val="tx1"/>
            </w14:solidFill>
          </w14:textFill>
        </w:rPr>
        <w:t>推进政府机构职能优化、协同高效，深化部门协调配合，提高履职尽责能力水平。严格执行工作责任制，健全权威高效的制度执行机制，完善绩效考核评价体系，完善决策问责和纠错制度。深化行政执法体制改革，构建“综合行政执法+部门专业执法+联合执法”的执法体系，推动执法力量向基层延伸和下沉。加强和改进行政复议、行政应诉工作。全面落实执法监管责任制，加大重点领域执法监管力度。加强政协民主监督及监察监督、司法监督，畅通社会舆论监督渠道。</w:t>
      </w:r>
    </w:p>
    <w:p>
      <w:pPr>
        <w:ind w:firstLine="643" w:firstLineChars="200"/>
        <w:rPr>
          <w:rFonts w:ascii="仿宋_GB2312" w:hAnsi="楷体" w:eastAsia="仿宋_GB2312"/>
          <w:color w:val="000000" w:themeColor="text1"/>
          <w:sz w:val="32"/>
          <w:szCs w:val="32"/>
          <w14:textFill>
            <w14:solidFill>
              <w14:schemeClr w14:val="tx1"/>
            </w14:solidFill>
          </w14:textFill>
        </w:rPr>
      </w:pPr>
      <w:r>
        <w:rPr>
          <w:rFonts w:hint="eastAsia" w:ascii="仿宋_GB2312" w:hAnsi="楷体" w:eastAsia="仿宋_GB2312"/>
          <w:b/>
          <w:color w:val="000000" w:themeColor="text1"/>
          <w:sz w:val="32"/>
          <w:szCs w:val="32"/>
          <w14:textFill>
            <w14:solidFill>
              <w14:schemeClr w14:val="tx1"/>
            </w14:solidFill>
          </w14:textFill>
        </w:rPr>
        <w:t>深化财税体制改革。</w:t>
      </w:r>
      <w:r>
        <w:rPr>
          <w:rFonts w:hint="eastAsia" w:ascii="仿宋_GB2312" w:hAnsi="楷体" w:eastAsia="仿宋_GB2312"/>
          <w:color w:val="000000" w:themeColor="text1"/>
          <w:sz w:val="32"/>
          <w:szCs w:val="32"/>
          <w14:textFill>
            <w14:solidFill>
              <w14:schemeClr w14:val="tx1"/>
            </w14:solidFill>
          </w14:textFill>
        </w:rPr>
        <w:t>加强财政资源统筹，优化财政支出结构，加强中期财政规划管理，增强重大战略任务保障。落实税收征管制度改革，</w:t>
      </w:r>
      <w:r>
        <w:rPr>
          <w:rFonts w:hint="eastAsia" w:ascii="仿宋_GB2312" w:hAnsi="楷体" w:eastAsia="仿宋_GB2312" w:cs="仿宋"/>
          <w:color w:val="000000" w:themeColor="text1"/>
          <w:sz w:val="32"/>
          <w:szCs w:val="32"/>
          <w14:textFill>
            <w14:solidFill>
              <w14:schemeClr w14:val="tx1"/>
            </w14:solidFill>
          </w14:textFill>
        </w:rPr>
        <w:t>健全完善税源管理机制，强化综合治税措施，</w:t>
      </w:r>
      <w:r>
        <w:rPr>
          <w:rFonts w:hint="eastAsia" w:ascii="仿宋_GB2312" w:hAnsi="楷体" w:eastAsia="仿宋_GB2312"/>
          <w:color w:val="000000" w:themeColor="text1"/>
          <w:sz w:val="32"/>
          <w:szCs w:val="32"/>
          <w14:textFill>
            <w14:solidFill>
              <w14:schemeClr w14:val="tx1"/>
            </w14:solidFill>
          </w14:textFill>
        </w:rPr>
        <w:t>统筹推进非税收入改革。培植涵养税源，</w:t>
      </w:r>
      <w:r>
        <w:rPr>
          <w:rFonts w:hint="eastAsia" w:ascii="仿宋_GB2312" w:hAnsi="楷体" w:eastAsia="仿宋_GB2312"/>
          <w:bCs/>
          <w:color w:val="000000" w:themeColor="text1"/>
          <w:sz w:val="32"/>
          <w:szCs w:val="32"/>
          <w14:textFill>
            <w14:solidFill>
              <w14:schemeClr w14:val="tx1"/>
            </w14:solidFill>
          </w14:textFill>
        </w:rPr>
        <w:t>积极争取政策性资金和政府债券，</w:t>
      </w:r>
      <w:r>
        <w:rPr>
          <w:rFonts w:hint="eastAsia" w:ascii="仿宋_GB2312" w:hAnsi="楷体" w:eastAsia="仿宋_GB2312"/>
          <w:color w:val="000000" w:themeColor="text1"/>
          <w:sz w:val="32"/>
          <w:szCs w:val="32"/>
          <w14:textFill>
            <w14:solidFill>
              <w14:schemeClr w14:val="tx1"/>
            </w14:solidFill>
          </w14:textFill>
        </w:rPr>
        <w:t>扩增财政收入。深化预算管理制度改革，完善公开透明的预算制度，探索实施零基预算管理，强化预算约束和绩效管理，盘活存量财政资金。</w:t>
      </w:r>
      <w:r>
        <w:rPr>
          <w:rFonts w:hint="eastAsia" w:ascii="仿宋_GB2312" w:hAnsi="楷体" w:eastAsia="仿宋_GB2312"/>
          <w:bCs/>
          <w:color w:val="000000" w:themeColor="text1"/>
          <w:sz w:val="32"/>
          <w:szCs w:val="32"/>
          <w14:textFill>
            <w14:solidFill>
              <w14:schemeClr w14:val="tx1"/>
            </w14:solidFill>
          </w14:textFill>
        </w:rPr>
        <w:t>狠抓财政资金使用监管，严肃财经纪律，</w:t>
      </w:r>
      <w:r>
        <w:rPr>
          <w:rFonts w:hint="eastAsia" w:ascii="仿宋_GB2312" w:hAnsi="楷体" w:eastAsia="仿宋_GB2312" w:cs="仿宋"/>
          <w:color w:val="000000" w:themeColor="text1"/>
          <w:sz w:val="32"/>
          <w:szCs w:val="32"/>
          <w14:textFill>
            <w14:solidFill>
              <w14:schemeClr w14:val="tx1"/>
            </w14:solidFill>
          </w14:textFill>
        </w:rPr>
        <w:t>加快构建全方位、全过程、全覆盖的预算绩效管理体系，提高财政资金使用效益。</w:t>
      </w:r>
      <w:r>
        <w:rPr>
          <w:rFonts w:hint="eastAsia" w:ascii="仿宋_GB2312" w:hAnsi="楷体" w:eastAsia="仿宋_GB2312"/>
          <w:color w:val="000000" w:themeColor="text1"/>
          <w:sz w:val="32"/>
          <w:szCs w:val="32"/>
          <w14:textFill>
            <w14:solidFill>
              <w14:schemeClr w14:val="tx1"/>
            </w14:solidFill>
          </w14:textFill>
        </w:rPr>
        <w:t>规范政府债务管理，</w:t>
      </w:r>
      <w:r>
        <w:rPr>
          <w:rFonts w:hint="eastAsia" w:ascii="仿宋_GB2312" w:hAnsi="楷体" w:eastAsia="仿宋_GB2312" w:cs="仿宋"/>
          <w:color w:val="000000" w:themeColor="text1"/>
          <w:sz w:val="32"/>
          <w:szCs w:val="32"/>
          <w14:textFill>
            <w14:solidFill>
              <w14:schemeClr w14:val="tx1"/>
            </w14:solidFill>
          </w14:textFill>
        </w:rPr>
        <w:t>对政府债务实行限额控制，分类纳入预算管理，</w:t>
      </w:r>
      <w:r>
        <w:rPr>
          <w:rFonts w:hint="eastAsia" w:ascii="仿宋_GB2312" w:hAnsi="楷体" w:eastAsia="仿宋_GB2312"/>
          <w:color w:val="000000" w:themeColor="text1"/>
          <w:sz w:val="32"/>
          <w:szCs w:val="32"/>
          <w14:textFill>
            <w14:solidFill>
              <w14:schemeClr w14:val="tx1"/>
            </w14:solidFill>
          </w14:textFill>
        </w:rPr>
        <w:t>防范化解政府隐性债务风险。</w:t>
      </w:r>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164" w:name="_Toc65849422"/>
      <w:bookmarkStart w:id="165" w:name="_Toc71192426"/>
      <w:r>
        <w:rPr>
          <w:rFonts w:hint="eastAsia" w:ascii="Times New Roman" w:hAnsi="Times New Roman" w:eastAsia="楷体"/>
          <w:bCs w:val="0"/>
          <w:color w:val="000000" w:themeColor="text1"/>
          <w:szCs w:val="20"/>
          <w14:textFill>
            <w14:solidFill>
              <w14:schemeClr w14:val="tx1"/>
            </w14:solidFill>
          </w14:textFill>
        </w:rPr>
        <w:t>第四节 打造最优营商环境</w:t>
      </w:r>
      <w:bookmarkEnd w:id="164"/>
      <w:bookmarkEnd w:id="165"/>
    </w:p>
    <w:p>
      <w:pPr>
        <w:widowControl/>
        <w:shd w:val="clear" w:color="auto" w:fill="FFFFFF"/>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贯彻落实国家、省、市优化营商环境条例，在全省</w:t>
      </w:r>
      <w:r>
        <w:rPr>
          <w:rFonts w:hint="eastAsia" w:ascii="仿宋_GB2312" w:eastAsia="仿宋_GB2312"/>
          <w:bCs/>
          <w:color w:val="000000" w:themeColor="text1"/>
          <w:sz w:val="32"/>
          <w:szCs w:val="32"/>
          <w14:textFill>
            <w14:solidFill>
              <w14:schemeClr w14:val="tx1"/>
            </w14:solidFill>
          </w14:textFill>
        </w:rPr>
        <w:t>率先编制《营商环境建设“十四五”规划》</w:t>
      </w:r>
      <w:r>
        <w:rPr>
          <w:rFonts w:hint="eastAsia" w:ascii="仿宋_GB2312" w:eastAsia="仿宋_GB2312"/>
          <w:color w:val="000000" w:themeColor="text1"/>
          <w:sz w:val="32"/>
          <w:szCs w:val="32"/>
          <w14:textFill>
            <w14:solidFill>
              <w14:schemeClr w14:val="tx1"/>
            </w14:solidFill>
          </w14:textFill>
        </w:rPr>
        <w:t>，全面优化市场环境、政务环境、法治环境。</w:t>
      </w:r>
      <w:r>
        <w:rPr>
          <w:rFonts w:hint="eastAsia" w:ascii="仿宋_GB2312" w:hAnsi="华文仿宋" w:eastAsia="仿宋_GB2312"/>
          <w:color w:val="000000" w:themeColor="text1"/>
          <w:sz w:val="32"/>
          <w:szCs w:val="32"/>
          <w14:textFill>
            <w14:solidFill>
              <w14:schemeClr w14:val="tx1"/>
            </w14:solidFill>
          </w14:textFill>
        </w:rPr>
        <w:t>依法保护企业合法权益，加快</w:t>
      </w:r>
      <w:r>
        <w:rPr>
          <w:rFonts w:ascii="仿宋_GB2312" w:eastAsia="仿宋_GB2312"/>
          <w:color w:val="000000" w:themeColor="text1"/>
          <w:sz w:val="32"/>
          <w:szCs w:val="32"/>
          <w14:textFill>
            <w14:solidFill>
              <w14:schemeClr w14:val="tx1"/>
            </w14:solidFill>
          </w14:textFill>
        </w:rPr>
        <w:t>营造市场化、法治化、国际化营商环境</w:t>
      </w:r>
      <w:r>
        <w:rPr>
          <w:rFonts w:hint="eastAsia" w:ascii="仿宋_GB2312" w:eastAsia="仿宋_GB2312"/>
          <w:color w:val="000000" w:themeColor="text1"/>
          <w:sz w:val="32"/>
          <w:szCs w:val="32"/>
          <w14:textFill>
            <w14:solidFill>
              <w14:schemeClr w14:val="tx1"/>
            </w14:solidFill>
          </w14:textFill>
        </w:rPr>
        <w:t>。</w:t>
      </w:r>
    </w:p>
    <w:p>
      <w:pPr>
        <w:widowControl/>
        <w:shd w:val="clear" w:color="auto" w:fill="FFFFFF"/>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优化市场环境。</w:t>
      </w:r>
      <w:r>
        <w:rPr>
          <w:rFonts w:hint="eastAsia" w:ascii="仿宋_GB2312" w:eastAsia="仿宋_GB2312"/>
          <w:color w:val="000000" w:themeColor="text1"/>
          <w:sz w:val="32"/>
          <w:szCs w:val="32"/>
          <w14:textFill>
            <w14:solidFill>
              <w14:schemeClr w14:val="tx1"/>
            </w14:solidFill>
          </w14:textFill>
        </w:rPr>
        <w:t>保护市场主体经营自主权，推进要素市场化改革，完善要素交易规则和服务体系，依法保障各类市场主体平等适用支持发展政策和各类要素、服务资源。全面落实公平竞争审查机制，强化反垄断和反不正当竞争执法，营造公平竞争市场环境。全面落实市场准入负面清单制度，推动“非禁即入”普遍落实。依法平等保护各种所有制企业产权和自主经营权，加强产权保护，加强知识产权创造、运用和保护，建设知识产权强县。</w:t>
      </w:r>
    </w:p>
    <w:p>
      <w:pPr>
        <w:widowControl/>
        <w:shd w:val="clear" w:color="auto" w:fill="FFFFFF"/>
        <w:ind w:firstLine="643"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优化政务环境。</w:t>
      </w:r>
      <w:r>
        <w:rPr>
          <w:rFonts w:hint="eastAsia" w:ascii="仿宋_GB2312" w:eastAsia="仿宋_GB2312"/>
          <w:color w:val="000000" w:themeColor="text1"/>
          <w:sz w:val="32"/>
          <w:szCs w:val="32"/>
          <w14:textFill>
            <w14:solidFill>
              <w14:schemeClr w14:val="tx1"/>
            </w14:solidFill>
          </w14:textFill>
        </w:rPr>
        <w:t>推进政务服务标准化，提升办事流程规范化、便利化和明白度，建设民权“政务通”“民事通”。持续提升“一网通办”实效，深入实施“最多跑一次”改革，提高“一次不用跑”事项比例。加强数据共享、电子证照、签章、档案线上互认，全面推行“一窗通办”，打造政务服务“民权实践”“民权经验”。构建亲清政商关系，建立规范化、常态化政企沟通机制和企业服务制度，落实好“一联三帮”“五个一”等工作机制，</w:t>
      </w:r>
      <w:r>
        <w:rPr>
          <w:rFonts w:hint="eastAsia" w:ascii="仿宋_GB2312" w:hAnsi="华文仿宋" w:eastAsia="仿宋_GB2312"/>
          <w:color w:val="000000" w:themeColor="text1"/>
          <w:sz w:val="32"/>
          <w:szCs w:val="32"/>
          <w14:textFill>
            <w14:solidFill>
              <w14:schemeClr w14:val="tx1"/>
            </w14:solidFill>
          </w14:textFill>
        </w:rPr>
        <w:t>推广“店小二”服务模式</w:t>
      </w:r>
      <w:r>
        <w:rPr>
          <w:rFonts w:hint="eastAsia" w:ascii="仿宋_GB2312" w:eastAsia="仿宋_GB2312"/>
          <w:color w:val="000000" w:themeColor="text1"/>
          <w:sz w:val="32"/>
          <w:szCs w:val="32"/>
          <w14:textFill>
            <w14:solidFill>
              <w14:schemeClr w14:val="tx1"/>
            </w14:solidFill>
          </w14:textFill>
        </w:rPr>
        <w:t>，营造“有求必应、无事不扰”的发展氛围，</w:t>
      </w:r>
      <w:r>
        <w:rPr>
          <w:rFonts w:hint="eastAsia" w:ascii="仿宋_GB2312" w:hAnsi="华文仿宋" w:eastAsia="仿宋_GB2312"/>
          <w:color w:val="000000" w:themeColor="text1"/>
          <w:sz w:val="32"/>
          <w:szCs w:val="32"/>
          <w14:textFill>
            <w14:solidFill>
              <w14:schemeClr w14:val="tx1"/>
            </w14:solidFill>
          </w14:textFill>
        </w:rPr>
        <w:t>创建“一联三帮”示范县。</w:t>
      </w:r>
    </w:p>
    <w:p>
      <w:pPr>
        <w:widowControl/>
        <w:shd w:val="clear" w:color="auto" w:fill="FFFFFF"/>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优化法治环境。</w:t>
      </w:r>
      <w:r>
        <w:rPr>
          <w:rFonts w:hint="eastAsia" w:ascii="仿宋_GB2312" w:eastAsia="仿宋_GB2312"/>
          <w:color w:val="000000" w:themeColor="text1"/>
          <w:sz w:val="32"/>
          <w:szCs w:val="32"/>
          <w14:textFill>
            <w14:solidFill>
              <w14:schemeClr w14:val="tx1"/>
            </w14:solidFill>
          </w14:textFill>
        </w:rPr>
        <w:t>建立涉及市场主体案件线索通报、移送、快速办理工作协调机制，完善涉企政策制定和执行机制，及时解决市场主体矛盾纠纷案件和相关问题。收集整理营商环境相关法律法规、规章、规范性文件和政策，定期更新公布。整合法律服务资源，为市场主体提供法律咨询、救济和援助服务，引导和帮助市场主体依法维权。做好营商环境评价工作，以评促改、以评促建，强化营商环境监督检查，营造一流营商环境。</w:t>
      </w:r>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166" w:name="_Toc65849423"/>
      <w:bookmarkStart w:id="167" w:name="_Toc71192427"/>
      <w:r>
        <w:rPr>
          <w:rFonts w:hint="eastAsia" w:ascii="Times New Roman" w:hAnsi="Times New Roman" w:eastAsia="楷体"/>
          <w:bCs w:val="0"/>
          <w:color w:val="000000" w:themeColor="text1"/>
          <w:szCs w:val="20"/>
          <w14:textFill>
            <w14:solidFill>
              <w14:schemeClr w14:val="tx1"/>
            </w14:solidFill>
          </w14:textFill>
        </w:rPr>
        <w:t>第五节 加强社会信用建设</w:t>
      </w:r>
      <w:bookmarkEnd w:id="166"/>
      <w:bookmarkEnd w:id="167"/>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加快社会信用建设，以政务诚信引领全社会诚信建设，加大政务诚信、商务诚信、社会诚信、司法公信和个人诚信的建设力度。积极建设覆盖全县的综合征信系统和信用信息平台，加快信用信息归集，提高信用信息质量。完善市场主体信用承诺制度，鼓励市场主体主动向社会作出信用承诺，按照有关规定将市场主体的承诺履行情况记入信用记录，作为事中事后监管的重要依据。建立守信激励和失信惩戒的信用联合奖惩机制，加强诚信文化建设，提高全社会诚信意识和信用水平。推进信用分级分类监管，根据监管对象信用状况采取差异化监管措施，加强涉企政务数据与金融机构共享，推动信用服务。</w:t>
      </w:r>
    </w:p>
    <w:p>
      <w:pPr>
        <w:widowControl/>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2"/>
        <w:adjustRightInd w:val="0"/>
        <w:snapToGrid w:val="0"/>
        <w:spacing w:before="156" w:beforeLines="50" w:after="156" w:afterLines="50" w:line="240" w:lineRule="auto"/>
        <w:jc w:val="center"/>
        <w:rPr>
          <w:rFonts w:ascii="Times New Roman" w:hAnsi="Times New Roman" w:eastAsia="黑体"/>
          <w:b w:val="0"/>
          <w:color w:val="000000" w:themeColor="text1"/>
          <w:sz w:val="32"/>
          <w14:textFill>
            <w14:solidFill>
              <w14:schemeClr w14:val="tx1"/>
            </w14:solidFill>
          </w14:textFill>
        </w:rPr>
      </w:pPr>
      <w:bookmarkStart w:id="168" w:name="_Toc71192428"/>
      <w:r>
        <w:rPr>
          <w:rFonts w:hint="eastAsia" w:ascii="Times New Roman" w:hAnsi="Times New Roman" w:eastAsia="黑体"/>
          <w:b w:val="0"/>
          <w:color w:val="000000" w:themeColor="text1"/>
          <w:sz w:val="32"/>
          <w14:textFill>
            <w14:solidFill>
              <w14:schemeClr w14:val="tx1"/>
            </w14:solidFill>
          </w14:textFill>
        </w:rPr>
        <w:t>第十四章 统筹发展和安全，大力推进社会治理现代化</w:t>
      </w:r>
      <w:bookmarkEnd w:id="168"/>
    </w:p>
    <w:p>
      <w:pPr>
        <w:ind w:firstLine="640" w:firstLineChars="200"/>
        <w:jc w:val="left"/>
        <w:rPr>
          <w:rFonts w:ascii="仿宋_GB2312" w:eastAsia="仿宋_GB2312"/>
          <w:color w:val="000000" w:themeColor="text1"/>
          <w:sz w:val="32"/>
          <w:szCs w:val="32"/>
          <w14:textFill>
            <w14:solidFill>
              <w14:schemeClr w14:val="tx1"/>
            </w14:solidFill>
          </w14:textFill>
        </w:rPr>
      </w:pPr>
      <w:bookmarkStart w:id="169" w:name="_Toc51309237"/>
      <w:r>
        <w:rPr>
          <w:rFonts w:hint="eastAsia" w:ascii="仿宋_GB2312" w:eastAsia="仿宋_GB2312"/>
          <w:color w:val="000000" w:themeColor="text1"/>
          <w:sz w:val="32"/>
          <w:szCs w:val="32"/>
          <w14:textFill>
            <w14:solidFill>
              <w14:schemeClr w14:val="tx1"/>
            </w14:solidFill>
          </w14:textFill>
        </w:rPr>
        <w:t>坚持总体国家安全观，落实国家安全战略，统筹传统安全和非传统安全，把安全发展贯穿全县经济社会发展各领域和全过程，不断加强法治民权建设，推进社会治理能力现代化，着力防范和化解各种风险，全面提升发展安全保障水平。</w:t>
      </w:r>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170" w:name="_Toc71192429"/>
      <w:r>
        <w:rPr>
          <w:rFonts w:hint="eastAsia" w:ascii="Times New Roman" w:hAnsi="Times New Roman" w:eastAsia="楷体"/>
          <w:bCs w:val="0"/>
          <w:color w:val="000000" w:themeColor="text1"/>
          <w:szCs w:val="20"/>
          <w14:textFill>
            <w14:solidFill>
              <w14:schemeClr w14:val="tx1"/>
            </w14:solidFill>
          </w14:textFill>
        </w:rPr>
        <w:t>第一节 高水平建设平安民权</w:t>
      </w:r>
      <w:bookmarkEnd w:id="170"/>
    </w:p>
    <w:bookmarkEnd w:id="169"/>
    <w:p>
      <w:pPr>
        <w:ind w:firstLine="643"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坚决维护政治安全。</w:t>
      </w:r>
      <w:r>
        <w:rPr>
          <w:rFonts w:hint="eastAsia" w:ascii="仿宋_GB2312" w:eastAsia="仿宋_GB2312"/>
          <w:color w:val="000000" w:themeColor="text1"/>
          <w:sz w:val="32"/>
          <w:szCs w:val="32"/>
          <w14:textFill>
            <w14:solidFill>
              <w14:schemeClr w14:val="tx1"/>
            </w14:solidFill>
          </w14:textFill>
        </w:rPr>
        <w:t>坚定维护国家政权安全、制度安全、意识形态安全，守好维护政治安全生命线。严格落实意识形态工作责任制，加强各类阵地建设和管理，全面加强网络安全保障体系和能力建设，依法打击危害网络意识形态安全行为。加强国家安全宣传教育，增强全民国家安全意识，巩固国家安全人民防线。</w:t>
      </w:r>
    </w:p>
    <w:p>
      <w:pPr>
        <w:ind w:firstLine="643"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全面加强经济安全。</w:t>
      </w:r>
      <w:r>
        <w:rPr>
          <w:rFonts w:hint="eastAsia" w:ascii="仿宋_GB2312" w:eastAsia="仿宋_GB2312"/>
          <w:color w:val="000000" w:themeColor="text1"/>
          <w:sz w:val="32"/>
          <w:szCs w:val="32"/>
          <w14:textFill>
            <w14:solidFill>
              <w14:schemeClr w14:val="tx1"/>
            </w14:solidFill>
          </w14:textFill>
        </w:rPr>
        <w:t>加强经济安全风险预警、防控机制和能力建设，依法打击各类经济违法犯罪活动。实施产业竞争力调查和评价，增强产业链供应链韧性，加强政府债务风险防控。严厉打击非法集资违法犯罪行为，加大不良贷款清收力度，全面落实失信“黑名单”制度，有效防范化解金融风险。确保粮食安全，维护生态安全，维护水利、电力、供水、燃气、交通、通信、网络等重要基础设施安全。开展老旧房屋不定期安全排查，持续化解问题楼盘。维护新型领域安全，健全预防、预警、处置、问责制度机制。</w:t>
      </w:r>
    </w:p>
    <w:p>
      <w:pPr>
        <w:ind w:firstLine="643"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确保人民生命安全。</w:t>
      </w:r>
      <w:r>
        <w:rPr>
          <w:rFonts w:hint="eastAsia" w:ascii="仿宋_GB2312" w:eastAsia="仿宋_GB2312"/>
          <w:color w:val="000000" w:themeColor="text1"/>
          <w:sz w:val="32"/>
          <w:szCs w:val="32"/>
          <w14:textFill>
            <w14:solidFill>
              <w14:schemeClr w14:val="tx1"/>
            </w14:solidFill>
          </w14:textFill>
        </w:rPr>
        <w:t>全面落实国家安全生产责任制，加强安全生产监管执法，突出重点行业和领域安全防控，抓好危化品、道路交通、建筑施工、消防、燃气等领域安全隐患排查治理，防范和遏制重特大安全事故发生。坚持贯彻落实“四个最严”要求，进一步完善“八大体系”，深入开展食品安全“十一项”攻坚行动，全面提升省级食品安全示范县监管水平，全力促进国家级食品安全示范城市创建，提高食品药品安全保障能力，确保人民群众对食品药品安全满意度稳定在85%以上。</w:t>
      </w:r>
    </w:p>
    <w:p>
      <w:pPr>
        <w:ind w:firstLine="643"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维护社会稳定和安全。</w:t>
      </w:r>
      <w:r>
        <w:rPr>
          <w:rFonts w:hint="eastAsia" w:ascii="仿宋_GB2312" w:eastAsia="仿宋_GB2312"/>
          <w:color w:val="000000" w:themeColor="text1"/>
          <w:sz w:val="32"/>
          <w:szCs w:val="32"/>
          <w14:textFill>
            <w14:solidFill>
              <w14:schemeClr w14:val="tx1"/>
            </w14:solidFill>
          </w14:textFill>
        </w:rPr>
        <w:t>坚持系统治理、依法治理、综合治理、源头治理，健全点线面结合、网上网下结合、人防物防技防结合、打防管控结合的立体化社会治安防控体系。创新社会治安防控手段，提升公共安全管理数字化、网络化、智能化水平，增强主动预防和打击犯罪的能力。完善社会治安防控运行机制，建立健全治安形势播报预警机制，推进扫黑除恶工作常态化。完善毒品防控体系，提升禁毒工作能力，大力推进禁毒预防宣传教育、禁吸戒毒、禁种产毒、禁毒执法等各项措施的落实，遏制吸贩毒问题的发生。统筹提升县乡村三级综治中心功能，推进“雪亮工程”全覆盖。完善信访制度，构建社会矛盾纠纷多元预防调处化解综合机制。健全社会心理服务体系和危机干预机制。坚决打击暴力恐怖活动。强化社会治安重点地区排查，保持社会和谐稳定。</w:t>
      </w:r>
      <w:bookmarkStart w:id="171" w:name="_Toc51309242"/>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172" w:name="_Toc71192430"/>
      <w:r>
        <w:rPr>
          <w:rFonts w:hint="eastAsia" w:ascii="Times New Roman" w:hAnsi="Times New Roman" w:eastAsia="楷体"/>
          <w:bCs w:val="0"/>
          <w:color w:val="000000" w:themeColor="text1"/>
          <w:szCs w:val="20"/>
          <w14:textFill>
            <w14:solidFill>
              <w14:schemeClr w14:val="tx1"/>
            </w14:solidFill>
          </w14:textFill>
        </w:rPr>
        <w:t>第二节 加强民主法治建设</w:t>
      </w:r>
      <w:bookmarkEnd w:id="172"/>
    </w:p>
    <w:p>
      <w:pPr>
        <w:ind w:firstLine="643"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加强民主政治建设。</w:t>
      </w:r>
      <w:r>
        <w:rPr>
          <w:rFonts w:hint="eastAsia" w:ascii="仿宋_GB2312" w:eastAsia="仿宋_GB2312"/>
          <w:color w:val="000000" w:themeColor="text1"/>
          <w:sz w:val="32"/>
          <w:szCs w:val="32"/>
          <w14:textFill>
            <w14:solidFill>
              <w14:schemeClr w14:val="tx1"/>
            </w14:solidFill>
          </w14:textFill>
        </w:rPr>
        <w:t>坚持和完善人民代表大会制度，加强人大对“一府一委两院”的监督，保障人民依法通过各种途径和形式管理国家事务、管理经济文化事业、管理社会事务。完善协商民主制度，推进协商民主广泛多层制度化发展,充分发挥民主党派、工商联和无党派人士作用，健全同党外知识分子、非公有制经济人士、新社会阶层人士的沟通联络机制，发挥人民政协作为协商民主重要渠道的作用,完善重大决策事项决策前听取政协意见制度,促进协商意见成果转化。完善民主监督制度,健全民主监督效果评价机制,提高民主监督实效。加强基层民主建设,深化基层治理机制创新,健全村级公共服务与社会管理民主机制。健全以职工代表大会为基本形式的企事业单位民主管理制度，保障职工参与管理和监督的民主权利。发挥工会、共青团、妇联等群团组织作用。健全民族宗教工作体制机制，加快少数民族事业发展。</w:t>
      </w:r>
    </w:p>
    <w:p>
      <w:pPr>
        <w:ind w:firstLine="643"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全面建设法治政府。</w:t>
      </w:r>
      <w:r>
        <w:rPr>
          <w:rFonts w:hint="eastAsia" w:ascii="仿宋_GB2312" w:eastAsia="仿宋_GB2312"/>
          <w:color w:val="000000" w:themeColor="text1"/>
          <w:sz w:val="32"/>
          <w:szCs w:val="32"/>
          <w14:textFill>
            <w14:solidFill>
              <w14:schemeClr w14:val="tx1"/>
            </w14:solidFill>
          </w14:textFill>
        </w:rPr>
        <w:t>坚持依法行政，恪守法定职责必须为、法无授权不可为，把政府活动纳入法治轨道。依法全面履行政府职能，提升政务服务水平。建立健全依法决策机制,完善政府法律顾问制度,严格落实重大行政决策程序和决策责任追究制度,切实防止违法决策、不当决策、拖延决策。深入推进服务型执法建设，探索创新行政指导,提升服务型行政执法水平。全面加强行政规范性文件管理,推行规范性文件合法性审核备案机制。大力推行清单制度并实行动态管理,规范权力运行，强化对行政权力的制约和监督,全面推进政务公开。</w:t>
      </w:r>
    </w:p>
    <w:p>
      <w:pPr>
        <w:ind w:firstLine="643"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全面建设法治社会。</w:t>
      </w:r>
      <w:r>
        <w:rPr>
          <w:rFonts w:hint="eastAsia" w:ascii="仿宋_GB2312" w:eastAsia="仿宋_GB2312"/>
          <w:color w:val="000000" w:themeColor="text1"/>
          <w:sz w:val="32"/>
          <w:szCs w:val="32"/>
          <w14:textFill>
            <w14:solidFill>
              <w14:schemeClr w14:val="tx1"/>
            </w14:solidFill>
          </w14:textFill>
        </w:rPr>
        <w:t>加大普法教育力度,把法治教育纳入国民教育体系,深入开展全民法治宣传教育,实现法治文化阵地建设全覆盖，推动互联网成为普法主阵地。引导全民自觉守法、遇事找法、解决问题靠法,深化基层依法治理,让依法办事蔚然成风。落实司法体制改革各项任务,保障司法机关依法独立公正行使职权。推进覆盖城乡居民的公共法律服务体系建设,完善法律援助制度，健全司法救助体系。发挥工、青、妇等人民团体和社会组织在法治社会建设中的积极作用,广泛开展群众性法治文化、法治惠民活动，不断提升人民群众对法治建设的满意度。</w:t>
      </w:r>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173" w:name="_Toc71192431"/>
      <w:r>
        <w:rPr>
          <w:rFonts w:hint="eastAsia" w:ascii="Times New Roman" w:hAnsi="Times New Roman" w:eastAsia="楷体"/>
          <w:bCs w:val="0"/>
          <w:color w:val="000000" w:themeColor="text1"/>
          <w:szCs w:val="20"/>
          <w14:textFill>
            <w14:solidFill>
              <w14:schemeClr w14:val="tx1"/>
            </w14:solidFill>
          </w14:textFill>
        </w:rPr>
        <w:t>第三节 加强和创新社会治理</w:t>
      </w:r>
      <w:bookmarkEnd w:id="173"/>
    </w:p>
    <w:p>
      <w:pPr>
        <w:ind w:firstLine="643" w:firstLineChars="200"/>
        <w:rPr>
          <w:rFonts w:ascii="Times New Roman" w:hAnsi="Times New Roman" w:eastAsia="仿宋_GB2312"/>
          <w:color w:val="000000" w:themeColor="text1"/>
          <w:sz w:val="32"/>
          <w:szCs w:val="32"/>
          <w14:textFill>
            <w14:solidFill>
              <w14:schemeClr w14:val="tx1"/>
            </w14:solidFill>
          </w14:textFill>
        </w:rPr>
      </w:pPr>
      <w:r>
        <w:rPr>
          <w:rFonts w:ascii="仿宋_GB2312" w:eastAsia="仿宋_GB2312"/>
          <w:b/>
          <w:color w:val="000000" w:themeColor="text1"/>
          <w:sz w:val="32"/>
          <w:szCs w:val="32"/>
          <w14:textFill>
            <w14:solidFill>
              <w14:schemeClr w14:val="tx1"/>
            </w14:solidFill>
          </w14:textFill>
        </w:rPr>
        <w:t>强化党建引领。</w:t>
      </w:r>
      <w:r>
        <w:rPr>
          <w:rFonts w:ascii="Times New Roman" w:hAnsi="Times New Roman" w:eastAsia="仿宋_GB2312"/>
          <w:color w:val="000000" w:themeColor="text1"/>
          <w:sz w:val="32"/>
          <w:szCs w:val="32"/>
          <w14:textFill>
            <w14:solidFill>
              <w14:schemeClr w14:val="tx1"/>
            </w14:solidFill>
          </w14:textFill>
        </w:rPr>
        <w:t>树牢大抓基层</w:t>
      </w:r>
      <w:r>
        <w:rPr>
          <w:rFonts w:hint="eastAsia" w:ascii="Times New Roman" w:hAnsi="Times New Roman" w:eastAsia="仿宋_GB2312"/>
          <w:color w:val="000000" w:themeColor="text1"/>
          <w:sz w:val="32"/>
          <w:szCs w:val="32"/>
          <w14:textFill>
            <w14:solidFill>
              <w14:schemeClr w14:val="tx1"/>
            </w14:solidFill>
          </w14:textFill>
        </w:rPr>
        <w:t>鲜明</w:t>
      </w:r>
      <w:r>
        <w:rPr>
          <w:rFonts w:ascii="Times New Roman" w:hAnsi="Times New Roman" w:eastAsia="仿宋_GB2312"/>
          <w:color w:val="000000" w:themeColor="text1"/>
          <w:sz w:val="32"/>
          <w:szCs w:val="32"/>
          <w14:textFill>
            <w14:solidFill>
              <w14:schemeClr w14:val="tx1"/>
            </w14:solidFill>
          </w14:textFill>
        </w:rPr>
        <w:t>导向，</w:t>
      </w:r>
      <w:r>
        <w:rPr>
          <w:rFonts w:hint="eastAsia" w:ascii="Times New Roman" w:hAnsi="Times New Roman" w:eastAsia="仿宋_GB2312"/>
          <w:color w:val="000000" w:themeColor="text1"/>
          <w:sz w:val="32"/>
          <w:szCs w:val="32"/>
          <w14:textFill>
            <w14:solidFill>
              <w14:schemeClr w14:val="tx1"/>
            </w14:solidFill>
          </w14:textFill>
        </w:rPr>
        <w:t>发挥好基层党组织的政治引领、战斗堡垒作用和共产党员的先锋模范作用</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强化乡镇和街道党（工）委领导核心作用和党组织统筹协调功能。大力推行党组织党员“双报到”工作机制，提高机关党组织和党员深入群众、服务社区的能力。</w:t>
      </w:r>
      <w:r>
        <w:rPr>
          <w:rFonts w:ascii="Times New Roman" w:hAnsi="Times New Roman" w:eastAsia="仿宋_GB2312"/>
          <w:color w:val="000000" w:themeColor="text1"/>
          <w:sz w:val="32"/>
          <w:szCs w:val="32"/>
          <w14:textFill>
            <w14:solidFill>
              <w14:schemeClr w14:val="tx1"/>
            </w14:solidFill>
          </w14:textFill>
        </w:rPr>
        <w:t>积极推动</w:t>
      </w:r>
      <w:r>
        <w:rPr>
          <w:rFonts w:hint="eastAsia" w:ascii="仿宋_GB2312"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两新</w:t>
      </w:r>
      <w:r>
        <w:rPr>
          <w:rFonts w:hint="eastAsia" w:ascii="仿宋_GB2312"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组织的党组织全覆盖，</w:t>
      </w:r>
      <w:r>
        <w:rPr>
          <w:rFonts w:hint="eastAsia" w:ascii="Times New Roman" w:hAnsi="Times New Roman" w:eastAsia="仿宋_GB2312"/>
          <w:color w:val="000000" w:themeColor="text1"/>
          <w:sz w:val="32"/>
          <w:szCs w:val="32"/>
          <w14:textFill>
            <w14:solidFill>
              <w14:schemeClr w14:val="tx1"/>
            </w14:solidFill>
          </w14:textFill>
        </w:rPr>
        <w:t>加强“两新”组织党建工作，巩固党的执政基础，</w:t>
      </w:r>
      <w:r>
        <w:rPr>
          <w:rFonts w:ascii="Times New Roman" w:hAnsi="Times New Roman" w:eastAsia="仿宋_GB2312"/>
          <w:color w:val="000000" w:themeColor="text1"/>
          <w:sz w:val="32"/>
          <w:szCs w:val="32"/>
          <w14:textFill>
            <w14:solidFill>
              <w14:schemeClr w14:val="tx1"/>
            </w14:solidFill>
          </w14:textFill>
        </w:rPr>
        <w:t>凝聚各领域党组织基层治理强大合力。</w:t>
      </w:r>
    </w:p>
    <w:p>
      <w:pPr>
        <w:ind w:firstLine="643" w:firstLineChars="200"/>
        <w:rPr>
          <w:rFonts w:ascii="Times New Roman" w:hAnsi="Times New Roman" w:eastAsia="仿宋_GB2312"/>
          <w:color w:val="000000" w:themeColor="text1"/>
          <w:sz w:val="32"/>
          <w:szCs w:val="32"/>
          <w14:textFill>
            <w14:solidFill>
              <w14:schemeClr w14:val="tx1"/>
            </w14:solidFill>
          </w14:textFill>
        </w:rPr>
      </w:pPr>
      <w:r>
        <w:rPr>
          <w:rFonts w:ascii="仿宋_GB2312" w:eastAsia="仿宋_GB2312"/>
          <w:b/>
          <w:color w:val="000000" w:themeColor="text1"/>
          <w:sz w:val="32"/>
          <w:szCs w:val="32"/>
          <w14:textFill>
            <w14:solidFill>
              <w14:schemeClr w14:val="tx1"/>
            </w14:solidFill>
          </w14:textFill>
        </w:rPr>
        <w:t>完善基层治理体系。</w:t>
      </w:r>
      <w:r>
        <w:rPr>
          <w:rFonts w:hint="eastAsia" w:ascii="Times New Roman" w:hAnsi="Times New Roman" w:eastAsia="仿宋_GB2312"/>
          <w:color w:val="000000" w:themeColor="text1"/>
          <w:sz w:val="32"/>
          <w:szCs w:val="32"/>
          <w14:textFill>
            <w14:solidFill>
              <w14:schemeClr w14:val="tx1"/>
            </w14:solidFill>
          </w14:textFill>
        </w:rPr>
        <w:t>以党建为核心、自治为基础、法治为保障、德治为先导、智治为支撑，探索形成“五治融合”的新型城乡社区治理机制。坚持和发展新时代“枫桥经验”，完善“党建+一中心四平台”新型治理服务体系，深入推进“一村（格）一警”工作，提升基层社会治理能力和水平。持续推动“减县补乡”政策落实力度，按照“重心下移、依法下放、权责一致”的原则，采取“菜单式”赋权方式，</w:t>
      </w:r>
      <w:r>
        <w:rPr>
          <w:rFonts w:ascii="Times New Roman" w:hAnsi="Times New Roman" w:eastAsia="仿宋_GB2312"/>
          <w:color w:val="000000" w:themeColor="text1"/>
          <w:sz w:val="32"/>
          <w:szCs w:val="32"/>
          <w14:textFill>
            <w14:solidFill>
              <w14:schemeClr w14:val="tx1"/>
            </w14:solidFill>
          </w14:textFill>
        </w:rPr>
        <w:t>推动社会治理重心向基层下移、向基层放权赋能</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加强乡镇（街道）综合服务设施建设，推动信访、环保、城管等各类网格化管理</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多网合一</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，构建网格化管理、精细化服务、信息化支撑、开放共享的基层管理服务平台，减轻基层特别是村级组织负担。</w:t>
      </w:r>
    </w:p>
    <w:p>
      <w:pPr>
        <w:ind w:firstLine="643" w:firstLineChars="200"/>
        <w:rPr>
          <w:rFonts w:ascii="Times New Roman" w:hAnsi="Times New Roman" w:eastAsia="仿宋_GB2312"/>
          <w:color w:val="000000" w:themeColor="text1"/>
          <w:sz w:val="32"/>
          <w:szCs w:val="32"/>
          <w14:textFill>
            <w14:solidFill>
              <w14:schemeClr w14:val="tx1"/>
            </w14:solidFill>
          </w14:textFill>
        </w:rPr>
      </w:pPr>
      <w:r>
        <w:rPr>
          <w:rFonts w:ascii="仿宋_GB2312" w:eastAsia="仿宋_GB2312"/>
          <w:b/>
          <w:color w:val="000000" w:themeColor="text1"/>
          <w:sz w:val="32"/>
          <w:szCs w:val="32"/>
          <w14:textFill>
            <w14:solidFill>
              <w14:schemeClr w14:val="tx1"/>
            </w14:solidFill>
          </w14:textFill>
        </w:rPr>
        <w:t>引导社会力量积极参与社会治理。</w:t>
      </w:r>
      <w:r>
        <w:rPr>
          <w:rFonts w:ascii="Times New Roman" w:hAnsi="Times New Roman" w:eastAsia="仿宋_GB2312"/>
          <w:color w:val="000000" w:themeColor="text1"/>
          <w:sz w:val="32"/>
          <w:szCs w:val="32"/>
          <w14:textFill>
            <w14:solidFill>
              <w14:schemeClr w14:val="tx1"/>
            </w14:solidFill>
          </w14:textFill>
        </w:rPr>
        <w:t>建立健</w:t>
      </w:r>
      <w:r>
        <w:rPr>
          <w:rFonts w:hint="eastAsia" w:ascii="Times New Roman" w:hAnsi="Times New Roman" w:eastAsia="仿宋_GB2312"/>
          <w:color w:val="000000" w:themeColor="text1"/>
          <w:sz w:val="32"/>
          <w:szCs w:val="32"/>
          <w14:textFill>
            <w14:solidFill>
              <w14:schemeClr w14:val="tx1"/>
            </w14:solidFill>
          </w14:textFill>
        </w:rPr>
        <w:t>全社会组织</w:t>
      </w:r>
      <w:r>
        <w:rPr>
          <w:rFonts w:ascii="Times New Roman" w:hAnsi="Times New Roman" w:eastAsia="仿宋_GB2312"/>
          <w:color w:val="000000" w:themeColor="text1"/>
          <w:sz w:val="32"/>
          <w:szCs w:val="32"/>
          <w14:textFill>
            <w14:solidFill>
              <w14:schemeClr w14:val="tx1"/>
            </w14:solidFill>
          </w14:textFill>
        </w:rPr>
        <w:t>培育和监管机制，调动群团组织和社会组织参与社会治理的主动性、积极性，推进诚信和自律建设，</w:t>
      </w:r>
      <w:r>
        <w:rPr>
          <w:rFonts w:hint="eastAsia" w:ascii="Times New Roman" w:hAnsi="Times New Roman" w:eastAsia="仿宋_GB2312"/>
          <w:color w:val="000000" w:themeColor="text1"/>
          <w:sz w:val="32"/>
          <w:szCs w:val="32"/>
          <w14:textFill>
            <w14:solidFill>
              <w14:schemeClr w14:val="tx1"/>
            </w14:solidFill>
          </w14:textFill>
        </w:rPr>
        <w:t>充分</w:t>
      </w:r>
      <w:r>
        <w:rPr>
          <w:rFonts w:ascii="Times New Roman" w:hAnsi="Times New Roman" w:eastAsia="仿宋_GB2312"/>
          <w:color w:val="000000" w:themeColor="text1"/>
          <w:sz w:val="32"/>
          <w:szCs w:val="32"/>
          <w14:textFill>
            <w14:solidFill>
              <w14:schemeClr w14:val="tx1"/>
            </w14:solidFill>
          </w14:textFill>
        </w:rPr>
        <w:t>发挥社会力量在社会治理中的作用</w:t>
      </w:r>
      <w:r>
        <w:rPr>
          <w:rFonts w:hint="eastAsia" w:ascii="Times New Roman" w:hAnsi="Times New Roman" w:eastAsia="仿宋_GB2312"/>
          <w:color w:val="000000" w:themeColor="text1"/>
          <w:sz w:val="32"/>
          <w:szCs w:val="32"/>
          <w14:textFill>
            <w14:solidFill>
              <w14:schemeClr w14:val="tx1"/>
            </w14:solidFill>
          </w14:textFill>
        </w:rPr>
        <w:t>，实现政府治理和社会调节、居民自治的良性互动</w:t>
      </w:r>
      <w:r>
        <w:rPr>
          <w:rFonts w:ascii="Times New Roman" w:hAnsi="Times New Roman" w:eastAsia="仿宋_GB2312"/>
          <w:color w:val="000000" w:themeColor="text1"/>
          <w:sz w:val="32"/>
          <w:szCs w:val="32"/>
          <w14:textFill>
            <w14:solidFill>
              <w14:schemeClr w14:val="tx1"/>
            </w14:solidFill>
          </w14:textFill>
        </w:rPr>
        <w:t>。健全志愿服务体系，激发志愿服务的社会治理潜力。大力发展社会工作服务，健全社区工作者职业制度，加强社会工作人才培养，</w:t>
      </w:r>
      <w:r>
        <w:rPr>
          <w:rFonts w:hint="eastAsia" w:ascii="Times New Roman" w:hAnsi="Times New Roman" w:eastAsia="仿宋_GB2312"/>
          <w:color w:val="000000" w:themeColor="text1"/>
          <w:sz w:val="32"/>
          <w:szCs w:val="32"/>
          <w14:textFill>
            <w14:solidFill>
              <w14:schemeClr w14:val="tx1"/>
            </w14:solidFill>
          </w14:textFill>
        </w:rPr>
        <w:t>孵化专业社工机构，</w:t>
      </w:r>
      <w:r>
        <w:rPr>
          <w:rFonts w:ascii="Times New Roman" w:hAnsi="Times New Roman" w:eastAsia="仿宋_GB2312"/>
          <w:color w:val="000000" w:themeColor="text1"/>
          <w:sz w:val="32"/>
          <w:szCs w:val="32"/>
          <w14:textFill>
            <w14:solidFill>
              <w14:schemeClr w14:val="tx1"/>
            </w14:solidFill>
          </w14:textFill>
        </w:rPr>
        <w:t>拓展社会工作者参与社会治理的途径。</w:t>
      </w:r>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174" w:name="_Toc71192432"/>
      <w:r>
        <w:rPr>
          <w:rFonts w:hint="eastAsia" w:ascii="Times New Roman" w:hAnsi="Times New Roman" w:eastAsia="楷体"/>
          <w:bCs w:val="0"/>
          <w:color w:val="000000" w:themeColor="text1"/>
          <w:szCs w:val="20"/>
          <w14:textFill>
            <w14:solidFill>
              <w14:schemeClr w14:val="tx1"/>
            </w14:solidFill>
          </w14:textFill>
        </w:rPr>
        <w:t>第四节 全面提升应急管理能力</w:t>
      </w:r>
      <w:bookmarkEnd w:id="174"/>
    </w:p>
    <w:p>
      <w:pPr>
        <w:tabs>
          <w:tab w:val="left" w:pos="2751"/>
        </w:tabs>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深化应急管理体制改革，完善应急指挥体系，持续推进双重预防体系建设，加快推进应急管理体系和能力现代化。全面加强县、乡镇（街道）、村（社区）三级应急组织网络建设，明确主体责任，建立更加有效的应急管理责任体系。加大应急管理经费投入，加强专业人才引进，建立“一专多能、一队多用”的应急救援专业队伍。支持河南省应急管理厅在民权县通航产业园区建立航空救援驻勤点，加快商丘物资储备中心（综合应急救援基地）项目建设进度。落实应急物资区域储备任务，构建长效保障机制。提升自然灾害防御工程建设标准，提高防灾减灾抗灾救灾能力。加快应急广播平台建设，建成县乡村综合覆盖、上下贯通、平战综合的应急广播体系。推进突发事件预警信息发布系统建设，健全应急预案，强化应急演练。强化宣传教育，普及应急知识。</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8522"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s="仿宋"/>
                <w:color w:val="000000" w:themeColor="text1"/>
                <w:sz w:val="24"/>
                <w:szCs w:val="24"/>
                <w14:textFill>
                  <w14:solidFill>
                    <w14:schemeClr w14:val="tx1"/>
                  </w14:solidFill>
                </w14:textFill>
              </w:rPr>
            </w:pPr>
            <w:r>
              <w:rPr>
                <w:rFonts w:hint="eastAsia" w:ascii="Times New Roman" w:hAnsi="Times New Roman" w:eastAsia="黑体"/>
                <w:bCs/>
                <w:color w:val="000000" w:themeColor="text1"/>
                <w:sz w:val="24"/>
                <w:szCs w:val="24"/>
                <w14:textFill>
                  <w14:solidFill>
                    <w14:schemeClr w14:val="tx1"/>
                  </w14:solidFill>
                </w14:textFill>
              </w:rPr>
              <w:t>专栏14-1：应急管理重点项目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tabs>
                <w:tab w:val="left" w:pos="2751"/>
              </w:tabs>
              <w:ind w:firstLine="422" w:firstLineChars="200"/>
              <w:jc w:val="left"/>
              <w:rPr>
                <w:rFonts w:ascii="Times New Roman" w:hAnsi="Times New Roman" w:eastAsia="宋体"/>
                <w:color w:val="000000" w:themeColor="text1"/>
                <w:szCs w:val="21"/>
                <w14:textFill>
                  <w14:solidFill>
                    <w14:schemeClr w14:val="tx1"/>
                  </w14:solidFill>
                </w14:textFill>
              </w:rPr>
            </w:pPr>
            <w:r>
              <w:rPr>
                <w:rFonts w:hint="eastAsia" w:ascii="Times New Roman" w:hAnsi="Times New Roman" w:eastAsia="宋体"/>
                <w:b/>
                <w:color w:val="000000" w:themeColor="text1"/>
                <w:szCs w:val="21"/>
                <w14:textFill>
                  <w14:solidFill>
                    <w14:schemeClr w14:val="tx1"/>
                  </w14:solidFill>
                </w14:textFill>
              </w:rPr>
              <w:t>商丘物资储备中心（综合应急救援基地）项目</w:t>
            </w:r>
            <w:r>
              <w:rPr>
                <w:rFonts w:hint="eastAsia" w:ascii="Times New Roman" w:hAnsi="Times New Roman" w:eastAsia="宋体"/>
                <w:color w:val="000000" w:themeColor="text1"/>
                <w:szCs w:val="21"/>
                <w14:textFill>
                  <w14:solidFill>
                    <w14:schemeClr w14:val="tx1"/>
                  </w14:solidFill>
                </w14:textFill>
              </w:rPr>
              <w:t>：包括商丘物资储备中心（综合应急救援基地）和民权航空紧急救援中心两部分。</w:t>
            </w:r>
          </w:p>
          <w:p>
            <w:pPr>
              <w:tabs>
                <w:tab w:val="left" w:pos="2751"/>
              </w:tabs>
              <w:ind w:firstLine="422" w:firstLineChars="200"/>
              <w:jc w:val="left"/>
              <w:rPr>
                <w:rFonts w:ascii="Times New Roman" w:hAnsi="Times New Roman" w:eastAsia="宋体"/>
                <w:color w:val="000000" w:themeColor="text1"/>
                <w:szCs w:val="21"/>
                <w14:textFill>
                  <w14:solidFill>
                    <w14:schemeClr w14:val="tx1"/>
                  </w14:solidFill>
                </w14:textFill>
              </w:rPr>
            </w:pPr>
            <w:r>
              <w:rPr>
                <w:rFonts w:hint="eastAsia" w:ascii="Times New Roman" w:hAnsi="Times New Roman" w:eastAsia="宋体"/>
                <w:b/>
                <w:color w:val="000000" w:themeColor="text1"/>
                <w:szCs w:val="21"/>
                <w14:textFill>
                  <w14:solidFill>
                    <w14:schemeClr w14:val="tx1"/>
                  </w14:solidFill>
                </w14:textFill>
              </w:rPr>
              <w:t>应急管理三大工程：</w:t>
            </w:r>
            <w:r>
              <w:rPr>
                <w:rFonts w:hint="eastAsia" w:ascii="Times New Roman" w:hAnsi="Times New Roman" w:eastAsia="宋体"/>
                <w:color w:val="000000" w:themeColor="text1"/>
                <w:szCs w:val="21"/>
                <w14:textFill>
                  <w14:solidFill>
                    <w14:schemeClr w14:val="tx1"/>
                  </w14:solidFill>
                </w14:textFill>
              </w:rPr>
              <w:t>应急避难所整合提升建设工程，应急宣传培训和实训体验基地建设工程，应急救援指挥中心建设工程。包括应急中心、人防指挥所、应急指挥平台建设等项目。</w:t>
            </w:r>
          </w:p>
          <w:p>
            <w:pPr>
              <w:tabs>
                <w:tab w:val="left" w:pos="2751"/>
              </w:tabs>
              <w:ind w:firstLine="422" w:firstLineChars="200"/>
              <w:jc w:val="left"/>
              <w:rPr>
                <w:rFonts w:ascii="Times New Roman" w:hAnsi="Times New Roman" w:eastAsia="宋体"/>
                <w:color w:val="000000" w:themeColor="text1"/>
                <w:szCs w:val="21"/>
                <w14:textFill>
                  <w14:solidFill>
                    <w14:schemeClr w14:val="tx1"/>
                  </w14:solidFill>
                </w14:textFill>
              </w:rPr>
            </w:pPr>
            <w:r>
              <w:rPr>
                <w:rFonts w:hint="eastAsia" w:ascii="Times New Roman" w:hAnsi="Times New Roman" w:eastAsia="宋体"/>
                <w:b/>
                <w:color w:val="000000" w:themeColor="text1"/>
                <w:szCs w:val="21"/>
                <w14:textFill>
                  <w14:solidFill>
                    <w14:schemeClr w14:val="tx1"/>
                  </w14:solidFill>
                </w14:textFill>
              </w:rPr>
              <w:t>自然灾害监测预警信息化平台：</w:t>
            </w:r>
            <w:r>
              <w:rPr>
                <w:rFonts w:hint="eastAsia" w:ascii="Times New Roman" w:hAnsi="Times New Roman" w:eastAsia="宋体"/>
                <w:color w:val="000000" w:themeColor="text1"/>
                <w:szCs w:val="21"/>
                <w14:textFill>
                  <w14:solidFill>
                    <w14:schemeClr w14:val="tx1"/>
                  </w14:solidFill>
                </w14:textFill>
              </w:rPr>
              <w:t>计划建筑面积500平方米，投资5000万，提升自然灾害防治技术装备现代化水平。</w:t>
            </w:r>
          </w:p>
          <w:p>
            <w:pPr>
              <w:tabs>
                <w:tab w:val="left" w:pos="2751"/>
              </w:tabs>
              <w:ind w:firstLine="422" w:firstLineChars="200"/>
              <w:jc w:val="left"/>
              <w:rPr>
                <w:rFonts w:ascii="仿宋" w:hAnsi="仿宋" w:eastAsia="仿宋" w:cs="仿宋"/>
                <w:color w:val="000000" w:themeColor="text1"/>
                <w:sz w:val="24"/>
                <w:szCs w:val="24"/>
                <w14:textFill>
                  <w14:solidFill>
                    <w14:schemeClr w14:val="tx1"/>
                  </w14:solidFill>
                </w14:textFill>
              </w:rPr>
            </w:pPr>
            <w:r>
              <w:rPr>
                <w:rFonts w:hint="eastAsia" w:ascii="Times New Roman" w:hAnsi="Times New Roman" w:eastAsia="宋体"/>
                <w:b/>
                <w:color w:val="000000" w:themeColor="text1"/>
                <w:szCs w:val="21"/>
                <w14:textFill>
                  <w14:solidFill>
                    <w14:schemeClr w14:val="tx1"/>
                  </w14:solidFill>
                </w14:textFill>
              </w:rPr>
              <w:t>粮食和应急物资储备库：</w:t>
            </w:r>
            <w:r>
              <w:rPr>
                <w:rFonts w:hint="eastAsia" w:ascii="Times New Roman" w:hAnsi="Times New Roman" w:eastAsia="宋体"/>
                <w:color w:val="000000" w:themeColor="text1"/>
                <w:szCs w:val="21"/>
                <w14:textFill>
                  <w14:solidFill>
                    <w14:schemeClr w14:val="tx1"/>
                  </w14:solidFill>
                </w14:textFill>
              </w:rPr>
              <w:t>建设用地855亩，主要承担地方储备粮、最低收购价粮、成品粮油临时储备、冷链储藏、应急物资储备等业务。</w:t>
            </w:r>
          </w:p>
        </w:tc>
      </w:tr>
      <w:bookmarkEnd w:id="171"/>
    </w:tbl>
    <w:p>
      <w:pPr>
        <w:widowControl/>
        <w:jc w:val="left"/>
        <w:rPr>
          <w:rFonts w:ascii="仿宋" w:hAnsi="仿宋" w:eastAsia="仿宋" w:cs="仿宋"/>
          <w:color w:val="000000" w:themeColor="text1"/>
          <w:sz w:val="24"/>
          <w:szCs w:val="24"/>
          <w14:textFill>
            <w14:solidFill>
              <w14:schemeClr w14:val="tx1"/>
            </w14:solidFill>
          </w14:textFill>
        </w:rPr>
      </w:pPr>
      <w:bookmarkStart w:id="175" w:name="_Toc51309243"/>
      <w:r>
        <w:rPr>
          <w:rFonts w:ascii="仿宋" w:hAnsi="仿宋" w:eastAsia="仿宋" w:cs="仿宋"/>
          <w:b/>
          <w:bCs/>
          <w:color w:val="000000" w:themeColor="text1"/>
          <w:sz w:val="24"/>
          <w:szCs w:val="24"/>
          <w14:textFill>
            <w14:solidFill>
              <w14:schemeClr w14:val="tx1"/>
            </w14:solidFill>
          </w14:textFill>
        </w:rPr>
        <w:br w:type="page"/>
      </w:r>
    </w:p>
    <w:p>
      <w:pPr>
        <w:pStyle w:val="2"/>
        <w:adjustRightInd w:val="0"/>
        <w:snapToGrid w:val="0"/>
        <w:spacing w:before="156" w:beforeLines="50" w:after="156" w:afterLines="50" w:line="240" w:lineRule="auto"/>
        <w:jc w:val="center"/>
        <w:rPr>
          <w:rFonts w:ascii="Times New Roman" w:hAnsi="Times New Roman" w:eastAsia="黑体"/>
          <w:b w:val="0"/>
          <w:color w:val="000000" w:themeColor="text1"/>
          <w:sz w:val="32"/>
          <w14:textFill>
            <w14:solidFill>
              <w14:schemeClr w14:val="tx1"/>
            </w14:solidFill>
          </w14:textFill>
        </w:rPr>
      </w:pPr>
      <w:bookmarkStart w:id="176" w:name="_Toc71192433"/>
      <w:r>
        <w:rPr>
          <w:rFonts w:hint="eastAsia" w:ascii="Times New Roman" w:hAnsi="Times New Roman" w:eastAsia="黑体"/>
          <w:b w:val="0"/>
          <w:color w:val="000000" w:themeColor="text1"/>
          <w:sz w:val="32"/>
          <w14:textFill>
            <w14:solidFill>
              <w14:schemeClr w14:val="tx1"/>
            </w14:solidFill>
          </w14:textFill>
        </w:rPr>
        <w:t>第十五章 加强规划实施保障</w:t>
      </w:r>
      <w:bookmarkEnd w:id="175"/>
      <w:bookmarkEnd w:id="176"/>
    </w:p>
    <w:p>
      <w:pPr>
        <w:ind w:firstLine="640" w:firstLineChars="200"/>
        <w:jc w:val="left"/>
        <w:rPr>
          <w:rFonts w:ascii="仿宋_GB2312" w:eastAsia="仿宋_GB2312"/>
          <w:color w:val="000000" w:themeColor="text1"/>
          <w:sz w:val="32"/>
          <w:szCs w:val="32"/>
          <w14:textFill>
            <w14:solidFill>
              <w14:schemeClr w14:val="tx1"/>
            </w14:solidFill>
          </w14:textFill>
        </w:rPr>
      </w:pPr>
      <w:bookmarkStart w:id="177" w:name="_Toc50971602"/>
      <w:r>
        <w:rPr>
          <w:rFonts w:hint="eastAsia" w:ascii="仿宋_GB2312" w:eastAsia="仿宋_GB2312"/>
          <w:color w:val="000000" w:themeColor="text1"/>
          <w:sz w:val="32"/>
          <w:szCs w:val="32"/>
          <w14:textFill>
            <w14:solidFill>
              <w14:schemeClr w14:val="tx1"/>
            </w14:solidFill>
          </w14:textFill>
        </w:rPr>
        <w:t>实现“十四五”规划和2035年远景目标，必须坚持党的全面领导，充分调动一切积极因素，广泛团结一切可以团结的力量，凝聚形成推动发展的强大合力。</w:t>
      </w:r>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178" w:name="_Toc71192434"/>
      <w:r>
        <w:rPr>
          <w:rFonts w:hint="eastAsia" w:ascii="Times New Roman" w:hAnsi="Times New Roman" w:eastAsia="楷体"/>
          <w:bCs w:val="0"/>
          <w:color w:val="000000" w:themeColor="text1"/>
          <w:szCs w:val="20"/>
          <w14:textFill>
            <w14:solidFill>
              <w14:schemeClr w14:val="tx1"/>
            </w14:solidFill>
          </w14:textFill>
        </w:rPr>
        <w:t>第一节 坚持和加强党的全面领导</w:t>
      </w:r>
      <w:bookmarkEnd w:id="177"/>
      <w:bookmarkEnd w:id="178"/>
    </w:p>
    <w:p>
      <w:pPr>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深入学习贯彻习近平新时代中国特色社会主义思想，以党的政治建设为统领，增强“四个意识”，坚定“四个自信”，做到“两个维护”，完善贯彻落实机制，确保习近平总书记重要指示批示和党中央决策部署高效落地。不断夯实党的基层组织，抓好意识形态，强化思想建党，提高政治站位。全面贯彻新时代党的组织路线，加强干部队伍建设，落实好干部标准，提高各级领导班子和干部适应新时代新要求抓改革、促发展、保稳定水平和专业能力，加强对敢担当善作为干部的激励保护，以正确用人导向引领干事创业导向。完善人才工作体系，培养造就大批德才兼备的高素质人才。贯彻落实“制度治党、依规治党”要求，把严的主基调长期坚持下去，锲而不舍落实中央八项规定精神，持续纠治“四风”，强化对公权力运行的制约和监督，坚持无禁区、全覆盖、零容忍，一体推进不敢腐、不能腐、不想腐，营造风清气正的良好政治生态。</w:t>
      </w:r>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179" w:name="_Toc71192435"/>
      <w:bookmarkStart w:id="180" w:name="_Toc50971604"/>
      <w:r>
        <w:rPr>
          <w:rFonts w:hint="eastAsia" w:ascii="Times New Roman" w:hAnsi="Times New Roman" w:eastAsia="楷体"/>
          <w:bCs w:val="0"/>
          <w:color w:val="000000" w:themeColor="text1"/>
          <w:szCs w:val="20"/>
          <w14:textFill>
            <w14:solidFill>
              <w14:schemeClr w14:val="tx1"/>
            </w14:solidFill>
          </w14:textFill>
        </w:rPr>
        <w:t>第二节 完善规划实施机制</w:t>
      </w:r>
      <w:bookmarkEnd w:id="179"/>
    </w:p>
    <w:bookmarkEnd w:id="180"/>
    <w:p>
      <w:pPr>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健全统一规划体系，强化发展规划统领作用，发挥国土空间规划基础作用和专项规划支撑作用。规范规划编制程序，建立健全各级各类规划衔接协调机制，确保各级各类规划在总体要求上指向一致、空间配置上相互协调、时序安排上科学有序。健全政策协调和工作协同机制，强化各类政策支撑保障作用，加强年度计划与本规划衔接。完善规划实施管理体制机制，坚持以项目引进和建设为总抓手，持续践行“马上办抓落实”“9+1”工作机制，有效推进规划的分类实施、责任落实和监督评估。完善监测评估制度，强化对规划实施情况的跟踪分析和监测，及时对规划实施情况进行中期评估。完善规划考评体系，将规划的约束性指标纳入各部门综合评价和绩效考核体系，分解实施，确保“十四五”时期各项目标任务落到实处。</w:t>
      </w:r>
    </w:p>
    <w:p>
      <w:pPr>
        <w:pStyle w:val="3"/>
        <w:spacing w:before="156" w:beforeLines="50" w:after="156" w:afterLines="50" w:line="240" w:lineRule="auto"/>
        <w:jc w:val="center"/>
        <w:rPr>
          <w:rFonts w:ascii="Times New Roman" w:hAnsi="Times New Roman" w:eastAsia="楷体"/>
          <w:bCs w:val="0"/>
          <w:color w:val="000000" w:themeColor="text1"/>
          <w:szCs w:val="20"/>
          <w14:textFill>
            <w14:solidFill>
              <w14:schemeClr w14:val="tx1"/>
            </w14:solidFill>
          </w14:textFill>
        </w:rPr>
      </w:pPr>
      <w:bookmarkStart w:id="181" w:name="_Toc50971607"/>
      <w:bookmarkStart w:id="182" w:name="_Toc71192436"/>
      <w:r>
        <w:rPr>
          <w:rFonts w:hint="eastAsia" w:ascii="Times New Roman" w:hAnsi="Times New Roman" w:eastAsia="楷体"/>
          <w:bCs w:val="0"/>
          <w:color w:val="000000" w:themeColor="text1"/>
          <w:szCs w:val="20"/>
          <w14:textFill>
            <w14:solidFill>
              <w14:schemeClr w14:val="tx1"/>
            </w14:solidFill>
          </w14:textFill>
        </w:rPr>
        <w:t>第三节</w:t>
      </w:r>
      <w:bookmarkEnd w:id="181"/>
      <w:r>
        <w:rPr>
          <w:rFonts w:hint="eastAsia" w:ascii="Times New Roman" w:hAnsi="Times New Roman" w:eastAsia="楷体"/>
          <w:bCs w:val="0"/>
          <w:color w:val="000000" w:themeColor="text1"/>
          <w:szCs w:val="20"/>
          <w14:textFill>
            <w14:solidFill>
              <w14:schemeClr w14:val="tx1"/>
            </w14:solidFill>
          </w14:textFill>
        </w:rPr>
        <w:t xml:space="preserve"> 形成全社会合力</w:t>
      </w:r>
      <w:bookmarkEnd w:id="182"/>
    </w:p>
    <w:p>
      <w:pPr>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充分发扬民主，贯彻党的群众路线，加强对规划的宣传，增强群众对规划的了解和认识，激发全县人民参与规划实施、建设高质量民权的主人翁意识，让规划确定的方针政策和发展蓝图深入人心。充分发挥人大代表、政协委员、新闻媒体等各类主体的积极性、主动性和创造性，尊重首创精神，汇聚人民群众的力量和智慧，紧紧依靠群众推动民权发展，引导全县上下热爱民权、建设民权、奉献民权，在广泛动员群众中凝聚发展合力。</w:t>
      </w:r>
    </w:p>
    <w:p>
      <w:pPr>
        <w:ind w:firstLine="640" w:firstLineChars="200"/>
        <w:rPr>
          <w:color w:val="000000" w:themeColor="text1"/>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新时代催人奋进，新征程重任在肩。全县各级党组织和广大党员干部群众要更加紧密地团结在以习近平同志为核心的党中央周围，不忘初心、牢记使命，埋头苦干、奋勇争先，全面推进社会主义现代化民权建设，为实现“十四五”规划和2035年远景目标，谱写新时代中原更加出彩的民权绚丽篇章而努力奋斗！</w:t>
      </w:r>
    </w:p>
    <w:bookmarkEnd w:id="109"/>
    <w:p>
      <w:pPr>
        <w:widowControl/>
        <w:rPr>
          <w:color w:val="000000" w:themeColor="text1"/>
          <w:kern w:val="44"/>
          <w:szCs w:val="44"/>
          <w14:textFill>
            <w14:solidFill>
              <w14:schemeClr w14:val="tx1"/>
            </w14:solidFill>
          </w14:textFill>
        </w:rPr>
      </w:pPr>
    </w:p>
    <w:sectPr>
      <w:type w:val="continuous"/>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 MERGEFORMAT </w:instrText>
    </w:r>
    <w:r>
      <w:fldChar w:fldCharType="separate"/>
    </w:r>
    <w:r>
      <w:rPr>
        <w:lang w:val="zh-CN"/>
      </w:rPr>
      <w:t>116</w:t>
    </w:r>
    <w:r>
      <w:rPr>
        <w:lang w:val="zh-CN"/>
      </w:rPr>
      <w:fldChar w:fldCharType="end"/>
    </w:r>
  </w:p>
  <w:p>
    <w:pPr>
      <w:pStyle w:val="13"/>
    </w:pPr>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kYmM3MmE5NDcwZGMzYTUyMjcwMTIwNTEwNzBhMTgifQ=="/>
  </w:docVars>
  <w:rsids>
    <w:rsidRoot w:val="009F734A"/>
    <w:rsid w:val="00000188"/>
    <w:rsid w:val="00002228"/>
    <w:rsid w:val="00004775"/>
    <w:rsid w:val="0000703A"/>
    <w:rsid w:val="00010FBB"/>
    <w:rsid w:val="00010FE8"/>
    <w:rsid w:val="0001141C"/>
    <w:rsid w:val="000161C5"/>
    <w:rsid w:val="0002035C"/>
    <w:rsid w:val="00022D8B"/>
    <w:rsid w:val="00024504"/>
    <w:rsid w:val="00025272"/>
    <w:rsid w:val="00030CB6"/>
    <w:rsid w:val="00033ABF"/>
    <w:rsid w:val="0003423D"/>
    <w:rsid w:val="00035CCB"/>
    <w:rsid w:val="00037B84"/>
    <w:rsid w:val="00040B31"/>
    <w:rsid w:val="00041B06"/>
    <w:rsid w:val="0004218C"/>
    <w:rsid w:val="00042D12"/>
    <w:rsid w:val="00043265"/>
    <w:rsid w:val="00043CBC"/>
    <w:rsid w:val="00047EEA"/>
    <w:rsid w:val="00050BED"/>
    <w:rsid w:val="00050DD5"/>
    <w:rsid w:val="000557E2"/>
    <w:rsid w:val="00055E23"/>
    <w:rsid w:val="00056022"/>
    <w:rsid w:val="00056684"/>
    <w:rsid w:val="00056AAE"/>
    <w:rsid w:val="00056C0D"/>
    <w:rsid w:val="000572C9"/>
    <w:rsid w:val="00057458"/>
    <w:rsid w:val="00060A5D"/>
    <w:rsid w:val="00060C72"/>
    <w:rsid w:val="00061E5F"/>
    <w:rsid w:val="00061F4D"/>
    <w:rsid w:val="00062649"/>
    <w:rsid w:val="00062ACA"/>
    <w:rsid w:val="000651BB"/>
    <w:rsid w:val="0006619F"/>
    <w:rsid w:val="00067AE3"/>
    <w:rsid w:val="00067D1B"/>
    <w:rsid w:val="000705AD"/>
    <w:rsid w:val="00071D7A"/>
    <w:rsid w:val="00072FD7"/>
    <w:rsid w:val="000743C2"/>
    <w:rsid w:val="00075AF5"/>
    <w:rsid w:val="000769A4"/>
    <w:rsid w:val="00076A88"/>
    <w:rsid w:val="00077CC3"/>
    <w:rsid w:val="0008069B"/>
    <w:rsid w:val="00080740"/>
    <w:rsid w:val="00080AB8"/>
    <w:rsid w:val="00081624"/>
    <w:rsid w:val="00083620"/>
    <w:rsid w:val="00084343"/>
    <w:rsid w:val="00087716"/>
    <w:rsid w:val="000928D5"/>
    <w:rsid w:val="00094B3E"/>
    <w:rsid w:val="00094C41"/>
    <w:rsid w:val="00097FF9"/>
    <w:rsid w:val="000A4DB9"/>
    <w:rsid w:val="000A6660"/>
    <w:rsid w:val="000A6A19"/>
    <w:rsid w:val="000A6BF8"/>
    <w:rsid w:val="000B0345"/>
    <w:rsid w:val="000B12B9"/>
    <w:rsid w:val="000B56AF"/>
    <w:rsid w:val="000B6519"/>
    <w:rsid w:val="000B6CC0"/>
    <w:rsid w:val="000B6D58"/>
    <w:rsid w:val="000B7026"/>
    <w:rsid w:val="000B7E1E"/>
    <w:rsid w:val="000B7FF0"/>
    <w:rsid w:val="000C0019"/>
    <w:rsid w:val="000C1CDA"/>
    <w:rsid w:val="000C3656"/>
    <w:rsid w:val="000C4422"/>
    <w:rsid w:val="000C4A59"/>
    <w:rsid w:val="000C4E98"/>
    <w:rsid w:val="000C500A"/>
    <w:rsid w:val="000D02E9"/>
    <w:rsid w:val="000D09C2"/>
    <w:rsid w:val="000D0CA9"/>
    <w:rsid w:val="000D2931"/>
    <w:rsid w:val="000D4063"/>
    <w:rsid w:val="000D4147"/>
    <w:rsid w:val="000D603A"/>
    <w:rsid w:val="000E25D8"/>
    <w:rsid w:val="000E3B5B"/>
    <w:rsid w:val="000E4A25"/>
    <w:rsid w:val="000E4BB9"/>
    <w:rsid w:val="000E506E"/>
    <w:rsid w:val="000E7CF3"/>
    <w:rsid w:val="000F3ABF"/>
    <w:rsid w:val="000F415B"/>
    <w:rsid w:val="000F6CF7"/>
    <w:rsid w:val="000F73A9"/>
    <w:rsid w:val="001000D3"/>
    <w:rsid w:val="00104756"/>
    <w:rsid w:val="001059E7"/>
    <w:rsid w:val="00106BD7"/>
    <w:rsid w:val="00110F66"/>
    <w:rsid w:val="0011293C"/>
    <w:rsid w:val="00121D17"/>
    <w:rsid w:val="00122667"/>
    <w:rsid w:val="00125CCA"/>
    <w:rsid w:val="00126D45"/>
    <w:rsid w:val="001338F8"/>
    <w:rsid w:val="00135EEE"/>
    <w:rsid w:val="00136A90"/>
    <w:rsid w:val="00140588"/>
    <w:rsid w:val="00144B39"/>
    <w:rsid w:val="00145A05"/>
    <w:rsid w:val="001476A6"/>
    <w:rsid w:val="001479A2"/>
    <w:rsid w:val="001506E8"/>
    <w:rsid w:val="00151E0D"/>
    <w:rsid w:val="00152630"/>
    <w:rsid w:val="00153289"/>
    <w:rsid w:val="00153C4E"/>
    <w:rsid w:val="00155D49"/>
    <w:rsid w:val="00155D7B"/>
    <w:rsid w:val="00155D9D"/>
    <w:rsid w:val="00156572"/>
    <w:rsid w:val="00157691"/>
    <w:rsid w:val="001604BF"/>
    <w:rsid w:val="001620D8"/>
    <w:rsid w:val="00164961"/>
    <w:rsid w:val="00165452"/>
    <w:rsid w:val="00166FC3"/>
    <w:rsid w:val="0017055A"/>
    <w:rsid w:val="00170FD4"/>
    <w:rsid w:val="00174B41"/>
    <w:rsid w:val="00185E67"/>
    <w:rsid w:val="00185F46"/>
    <w:rsid w:val="00186BE7"/>
    <w:rsid w:val="00187A52"/>
    <w:rsid w:val="00190201"/>
    <w:rsid w:val="0019083C"/>
    <w:rsid w:val="00191B40"/>
    <w:rsid w:val="001960EF"/>
    <w:rsid w:val="00196AD4"/>
    <w:rsid w:val="00197093"/>
    <w:rsid w:val="00197F3D"/>
    <w:rsid w:val="001A0B5C"/>
    <w:rsid w:val="001A1355"/>
    <w:rsid w:val="001A2418"/>
    <w:rsid w:val="001A5A89"/>
    <w:rsid w:val="001A6787"/>
    <w:rsid w:val="001A7675"/>
    <w:rsid w:val="001B4E6A"/>
    <w:rsid w:val="001B4FFB"/>
    <w:rsid w:val="001B5360"/>
    <w:rsid w:val="001B54FD"/>
    <w:rsid w:val="001B5B7B"/>
    <w:rsid w:val="001B608F"/>
    <w:rsid w:val="001B75D2"/>
    <w:rsid w:val="001C07AE"/>
    <w:rsid w:val="001C07CF"/>
    <w:rsid w:val="001C0DCF"/>
    <w:rsid w:val="001C41AE"/>
    <w:rsid w:val="001C4739"/>
    <w:rsid w:val="001C474D"/>
    <w:rsid w:val="001C7DBB"/>
    <w:rsid w:val="001D06DC"/>
    <w:rsid w:val="001D0EB2"/>
    <w:rsid w:val="001D1218"/>
    <w:rsid w:val="001D172A"/>
    <w:rsid w:val="001D2F26"/>
    <w:rsid w:val="001D5889"/>
    <w:rsid w:val="001E0150"/>
    <w:rsid w:val="001E0738"/>
    <w:rsid w:val="001E2332"/>
    <w:rsid w:val="001E2A03"/>
    <w:rsid w:val="001E45C6"/>
    <w:rsid w:val="001E6B95"/>
    <w:rsid w:val="001E7238"/>
    <w:rsid w:val="001F0505"/>
    <w:rsid w:val="001F0937"/>
    <w:rsid w:val="001F161F"/>
    <w:rsid w:val="001F304E"/>
    <w:rsid w:val="001F330B"/>
    <w:rsid w:val="001F7359"/>
    <w:rsid w:val="001F7CBC"/>
    <w:rsid w:val="002010B1"/>
    <w:rsid w:val="00202FA9"/>
    <w:rsid w:val="002031A5"/>
    <w:rsid w:val="00204978"/>
    <w:rsid w:val="00204A54"/>
    <w:rsid w:val="00211123"/>
    <w:rsid w:val="00211624"/>
    <w:rsid w:val="0021232D"/>
    <w:rsid w:val="00212CE3"/>
    <w:rsid w:val="00214017"/>
    <w:rsid w:val="002151FA"/>
    <w:rsid w:val="002172DC"/>
    <w:rsid w:val="00217540"/>
    <w:rsid w:val="0022141C"/>
    <w:rsid w:val="002220D9"/>
    <w:rsid w:val="00223149"/>
    <w:rsid w:val="00223BDA"/>
    <w:rsid w:val="00227477"/>
    <w:rsid w:val="002276BD"/>
    <w:rsid w:val="00227AA6"/>
    <w:rsid w:val="00227C63"/>
    <w:rsid w:val="002305EB"/>
    <w:rsid w:val="0023338F"/>
    <w:rsid w:val="00233853"/>
    <w:rsid w:val="00233B8E"/>
    <w:rsid w:val="00234E30"/>
    <w:rsid w:val="002358D2"/>
    <w:rsid w:val="00240FE3"/>
    <w:rsid w:val="002412F8"/>
    <w:rsid w:val="0024177F"/>
    <w:rsid w:val="0024557E"/>
    <w:rsid w:val="002511BD"/>
    <w:rsid w:val="002536A1"/>
    <w:rsid w:val="002552B9"/>
    <w:rsid w:val="002552CF"/>
    <w:rsid w:val="002554DE"/>
    <w:rsid w:val="00256877"/>
    <w:rsid w:val="0025734A"/>
    <w:rsid w:val="00257D9E"/>
    <w:rsid w:val="00260903"/>
    <w:rsid w:val="0026102A"/>
    <w:rsid w:val="002625E1"/>
    <w:rsid w:val="00262EEA"/>
    <w:rsid w:val="002638A2"/>
    <w:rsid w:val="00264031"/>
    <w:rsid w:val="0026429B"/>
    <w:rsid w:val="002645D1"/>
    <w:rsid w:val="00265766"/>
    <w:rsid w:val="00266535"/>
    <w:rsid w:val="002704AC"/>
    <w:rsid w:val="002737EB"/>
    <w:rsid w:val="0027385B"/>
    <w:rsid w:val="00274042"/>
    <w:rsid w:val="002817A2"/>
    <w:rsid w:val="00281F29"/>
    <w:rsid w:val="002836B6"/>
    <w:rsid w:val="00283E2D"/>
    <w:rsid w:val="00286826"/>
    <w:rsid w:val="002918AC"/>
    <w:rsid w:val="0029294B"/>
    <w:rsid w:val="00292CF9"/>
    <w:rsid w:val="0029312E"/>
    <w:rsid w:val="00293358"/>
    <w:rsid w:val="00293A63"/>
    <w:rsid w:val="00293DB7"/>
    <w:rsid w:val="00294038"/>
    <w:rsid w:val="002953AE"/>
    <w:rsid w:val="00296CDE"/>
    <w:rsid w:val="00297305"/>
    <w:rsid w:val="002A070B"/>
    <w:rsid w:val="002A0D8E"/>
    <w:rsid w:val="002A2F68"/>
    <w:rsid w:val="002B06E4"/>
    <w:rsid w:val="002B0FB4"/>
    <w:rsid w:val="002B4D18"/>
    <w:rsid w:val="002B4F77"/>
    <w:rsid w:val="002B7AA0"/>
    <w:rsid w:val="002C0849"/>
    <w:rsid w:val="002C123C"/>
    <w:rsid w:val="002C25E9"/>
    <w:rsid w:val="002C2B95"/>
    <w:rsid w:val="002C2DC0"/>
    <w:rsid w:val="002C34E6"/>
    <w:rsid w:val="002C3D10"/>
    <w:rsid w:val="002C41FA"/>
    <w:rsid w:val="002C5542"/>
    <w:rsid w:val="002D13A7"/>
    <w:rsid w:val="002D1405"/>
    <w:rsid w:val="002D1FE7"/>
    <w:rsid w:val="002D2BC5"/>
    <w:rsid w:val="002D54BD"/>
    <w:rsid w:val="002D6689"/>
    <w:rsid w:val="002D71C9"/>
    <w:rsid w:val="002E122B"/>
    <w:rsid w:val="002E19A4"/>
    <w:rsid w:val="002E3071"/>
    <w:rsid w:val="002E646B"/>
    <w:rsid w:val="002E7F3F"/>
    <w:rsid w:val="002F0133"/>
    <w:rsid w:val="002F2913"/>
    <w:rsid w:val="002F7998"/>
    <w:rsid w:val="00302DDA"/>
    <w:rsid w:val="00303E87"/>
    <w:rsid w:val="00304A10"/>
    <w:rsid w:val="003062B3"/>
    <w:rsid w:val="00306DC0"/>
    <w:rsid w:val="00307462"/>
    <w:rsid w:val="00307F12"/>
    <w:rsid w:val="003101AB"/>
    <w:rsid w:val="0031051E"/>
    <w:rsid w:val="00311189"/>
    <w:rsid w:val="00315699"/>
    <w:rsid w:val="0031723D"/>
    <w:rsid w:val="00317E53"/>
    <w:rsid w:val="0032014B"/>
    <w:rsid w:val="0032106C"/>
    <w:rsid w:val="00323A79"/>
    <w:rsid w:val="0032411D"/>
    <w:rsid w:val="00325D95"/>
    <w:rsid w:val="0033102C"/>
    <w:rsid w:val="003319C1"/>
    <w:rsid w:val="003326B3"/>
    <w:rsid w:val="003332C3"/>
    <w:rsid w:val="00334832"/>
    <w:rsid w:val="003361C6"/>
    <w:rsid w:val="0033763D"/>
    <w:rsid w:val="003402E5"/>
    <w:rsid w:val="00340A1E"/>
    <w:rsid w:val="003420A0"/>
    <w:rsid w:val="003423ED"/>
    <w:rsid w:val="0034488B"/>
    <w:rsid w:val="003448A3"/>
    <w:rsid w:val="0034714A"/>
    <w:rsid w:val="00347847"/>
    <w:rsid w:val="0035159F"/>
    <w:rsid w:val="00354967"/>
    <w:rsid w:val="00355150"/>
    <w:rsid w:val="003569CD"/>
    <w:rsid w:val="00356C3F"/>
    <w:rsid w:val="00357CA1"/>
    <w:rsid w:val="00360871"/>
    <w:rsid w:val="00361EF3"/>
    <w:rsid w:val="003624D2"/>
    <w:rsid w:val="0036299E"/>
    <w:rsid w:val="003650E7"/>
    <w:rsid w:val="0036531D"/>
    <w:rsid w:val="003654B1"/>
    <w:rsid w:val="0036583D"/>
    <w:rsid w:val="00365B8F"/>
    <w:rsid w:val="003666BD"/>
    <w:rsid w:val="00366F21"/>
    <w:rsid w:val="00367713"/>
    <w:rsid w:val="00370033"/>
    <w:rsid w:val="003710A1"/>
    <w:rsid w:val="0037259F"/>
    <w:rsid w:val="003747AA"/>
    <w:rsid w:val="003757DA"/>
    <w:rsid w:val="0037679E"/>
    <w:rsid w:val="00381450"/>
    <w:rsid w:val="00381A35"/>
    <w:rsid w:val="003838BF"/>
    <w:rsid w:val="00383CD4"/>
    <w:rsid w:val="00385DFE"/>
    <w:rsid w:val="00390289"/>
    <w:rsid w:val="00391AAA"/>
    <w:rsid w:val="003932CE"/>
    <w:rsid w:val="003948FD"/>
    <w:rsid w:val="0039595C"/>
    <w:rsid w:val="00397CB0"/>
    <w:rsid w:val="003A24D9"/>
    <w:rsid w:val="003A343C"/>
    <w:rsid w:val="003A4220"/>
    <w:rsid w:val="003A4DAC"/>
    <w:rsid w:val="003A4DC8"/>
    <w:rsid w:val="003A571E"/>
    <w:rsid w:val="003A69F3"/>
    <w:rsid w:val="003A6D80"/>
    <w:rsid w:val="003B06A6"/>
    <w:rsid w:val="003B15E2"/>
    <w:rsid w:val="003B1B9D"/>
    <w:rsid w:val="003B2D39"/>
    <w:rsid w:val="003B6575"/>
    <w:rsid w:val="003B6C2E"/>
    <w:rsid w:val="003B708A"/>
    <w:rsid w:val="003C0439"/>
    <w:rsid w:val="003C04AF"/>
    <w:rsid w:val="003C05BE"/>
    <w:rsid w:val="003C1C73"/>
    <w:rsid w:val="003C27B5"/>
    <w:rsid w:val="003C2ADF"/>
    <w:rsid w:val="003C2ED3"/>
    <w:rsid w:val="003C2F91"/>
    <w:rsid w:val="003C4F35"/>
    <w:rsid w:val="003C51C9"/>
    <w:rsid w:val="003C640B"/>
    <w:rsid w:val="003C649B"/>
    <w:rsid w:val="003C7B24"/>
    <w:rsid w:val="003D0522"/>
    <w:rsid w:val="003D13AA"/>
    <w:rsid w:val="003D14B3"/>
    <w:rsid w:val="003D1CB2"/>
    <w:rsid w:val="003D291C"/>
    <w:rsid w:val="003D3964"/>
    <w:rsid w:val="003D6A84"/>
    <w:rsid w:val="003D6D76"/>
    <w:rsid w:val="003D756C"/>
    <w:rsid w:val="003E062F"/>
    <w:rsid w:val="003E063F"/>
    <w:rsid w:val="003E0A53"/>
    <w:rsid w:val="003E1522"/>
    <w:rsid w:val="003E1D1F"/>
    <w:rsid w:val="003E2DB3"/>
    <w:rsid w:val="003E34B4"/>
    <w:rsid w:val="003E4BCC"/>
    <w:rsid w:val="003E6570"/>
    <w:rsid w:val="003F185B"/>
    <w:rsid w:val="003F1EC3"/>
    <w:rsid w:val="003F6A25"/>
    <w:rsid w:val="003F6D5B"/>
    <w:rsid w:val="00400864"/>
    <w:rsid w:val="0040111F"/>
    <w:rsid w:val="004025EE"/>
    <w:rsid w:val="004062EA"/>
    <w:rsid w:val="004065F4"/>
    <w:rsid w:val="004066A3"/>
    <w:rsid w:val="00411884"/>
    <w:rsid w:val="00412F2A"/>
    <w:rsid w:val="00413100"/>
    <w:rsid w:val="00415559"/>
    <w:rsid w:val="0042190D"/>
    <w:rsid w:val="00424DD8"/>
    <w:rsid w:val="004252E0"/>
    <w:rsid w:val="0042582F"/>
    <w:rsid w:val="00427718"/>
    <w:rsid w:val="00427FE6"/>
    <w:rsid w:val="00430F8E"/>
    <w:rsid w:val="004326DF"/>
    <w:rsid w:val="00434075"/>
    <w:rsid w:val="00434545"/>
    <w:rsid w:val="00434FA5"/>
    <w:rsid w:val="0043583F"/>
    <w:rsid w:val="004358C2"/>
    <w:rsid w:val="004372D7"/>
    <w:rsid w:val="00440906"/>
    <w:rsid w:val="004411A8"/>
    <w:rsid w:val="004412DE"/>
    <w:rsid w:val="0044453A"/>
    <w:rsid w:val="004465D7"/>
    <w:rsid w:val="00447512"/>
    <w:rsid w:val="00451029"/>
    <w:rsid w:val="00451D9C"/>
    <w:rsid w:val="0045249F"/>
    <w:rsid w:val="00452B40"/>
    <w:rsid w:val="00453C8F"/>
    <w:rsid w:val="00454A27"/>
    <w:rsid w:val="004570C6"/>
    <w:rsid w:val="0046081A"/>
    <w:rsid w:val="00461F6A"/>
    <w:rsid w:val="00463FE6"/>
    <w:rsid w:val="00464A75"/>
    <w:rsid w:val="00464C66"/>
    <w:rsid w:val="004700A9"/>
    <w:rsid w:val="004702A8"/>
    <w:rsid w:val="00473972"/>
    <w:rsid w:val="004751ED"/>
    <w:rsid w:val="00480836"/>
    <w:rsid w:val="004811CF"/>
    <w:rsid w:val="0048288D"/>
    <w:rsid w:val="00484035"/>
    <w:rsid w:val="00486217"/>
    <w:rsid w:val="00490041"/>
    <w:rsid w:val="00491780"/>
    <w:rsid w:val="0049205F"/>
    <w:rsid w:val="0049349C"/>
    <w:rsid w:val="00493DC3"/>
    <w:rsid w:val="0049423B"/>
    <w:rsid w:val="00496FCD"/>
    <w:rsid w:val="004976EA"/>
    <w:rsid w:val="004A07E5"/>
    <w:rsid w:val="004A0D65"/>
    <w:rsid w:val="004A0E55"/>
    <w:rsid w:val="004A0E7A"/>
    <w:rsid w:val="004A1760"/>
    <w:rsid w:val="004A2B32"/>
    <w:rsid w:val="004A3724"/>
    <w:rsid w:val="004A5895"/>
    <w:rsid w:val="004A707B"/>
    <w:rsid w:val="004A7B0F"/>
    <w:rsid w:val="004B25CF"/>
    <w:rsid w:val="004B2C89"/>
    <w:rsid w:val="004B409E"/>
    <w:rsid w:val="004B651B"/>
    <w:rsid w:val="004C110D"/>
    <w:rsid w:val="004C2301"/>
    <w:rsid w:val="004C5934"/>
    <w:rsid w:val="004C5E20"/>
    <w:rsid w:val="004C747A"/>
    <w:rsid w:val="004D001F"/>
    <w:rsid w:val="004D0EFC"/>
    <w:rsid w:val="004D385A"/>
    <w:rsid w:val="004D518F"/>
    <w:rsid w:val="004D6455"/>
    <w:rsid w:val="004D68CB"/>
    <w:rsid w:val="004E08B7"/>
    <w:rsid w:val="004E0DA5"/>
    <w:rsid w:val="004E3A01"/>
    <w:rsid w:val="004E4262"/>
    <w:rsid w:val="004F07D5"/>
    <w:rsid w:val="004F1BC7"/>
    <w:rsid w:val="004F2419"/>
    <w:rsid w:val="00501586"/>
    <w:rsid w:val="005031BD"/>
    <w:rsid w:val="00504A26"/>
    <w:rsid w:val="005120EA"/>
    <w:rsid w:val="00513A61"/>
    <w:rsid w:val="00515734"/>
    <w:rsid w:val="00515D45"/>
    <w:rsid w:val="0051762B"/>
    <w:rsid w:val="0052288C"/>
    <w:rsid w:val="00522B9D"/>
    <w:rsid w:val="00523907"/>
    <w:rsid w:val="00523A29"/>
    <w:rsid w:val="005247B9"/>
    <w:rsid w:val="005250B4"/>
    <w:rsid w:val="00525513"/>
    <w:rsid w:val="00525F57"/>
    <w:rsid w:val="00526F81"/>
    <w:rsid w:val="0053002B"/>
    <w:rsid w:val="00530541"/>
    <w:rsid w:val="00530B28"/>
    <w:rsid w:val="00533370"/>
    <w:rsid w:val="005355CE"/>
    <w:rsid w:val="00535838"/>
    <w:rsid w:val="005358B1"/>
    <w:rsid w:val="00537D4A"/>
    <w:rsid w:val="005425A6"/>
    <w:rsid w:val="00542F80"/>
    <w:rsid w:val="005442D5"/>
    <w:rsid w:val="00544B83"/>
    <w:rsid w:val="00547A42"/>
    <w:rsid w:val="005525A2"/>
    <w:rsid w:val="005525F3"/>
    <w:rsid w:val="00553A7B"/>
    <w:rsid w:val="00554012"/>
    <w:rsid w:val="0055587E"/>
    <w:rsid w:val="00557EDB"/>
    <w:rsid w:val="00561AC1"/>
    <w:rsid w:val="005631D0"/>
    <w:rsid w:val="005637EE"/>
    <w:rsid w:val="00563C4E"/>
    <w:rsid w:val="005653B4"/>
    <w:rsid w:val="00565EA8"/>
    <w:rsid w:val="00566302"/>
    <w:rsid w:val="0056792E"/>
    <w:rsid w:val="00567D56"/>
    <w:rsid w:val="00570414"/>
    <w:rsid w:val="005705D2"/>
    <w:rsid w:val="0057265A"/>
    <w:rsid w:val="00576C43"/>
    <w:rsid w:val="005807EE"/>
    <w:rsid w:val="00581759"/>
    <w:rsid w:val="00581800"/>
    <w:rsid w:val="00582B9F"/>
    <w:rsid w:val="00583CE2"/>
    <w:rsid w:val="00584DE2"/>
    <w:rsid w:val="00585874"/>
    <w:rsid w:val="005902E0"/>
    <w:rsid w:val="00590C0B"/>
    <w:rsid w:val="00590DE3"/>
    <w:rsid w:val="00591C7E"/>
    <w:rsid w:val="00592386"/>
    <w:rsid w:val="00592CA7"/>
    <w:rsid w:val="00592EFA"/>
    <w:rsid w:val="00594DD4"/>
    <w:rsid w:val="0059546B"/>
    <w:rsid w:val="005956BD"/>
    <w:rsid w:val="005A1833"/>
    <w:rsid w:val="005A2977"/>
    <w:rsid w:val="005A363A"/>
    <w:rsid w:val="005A6466"/>
    <w:rsid w:val="005B1D5C"/>
    <w:rsid w:val="005B1FEF"/>
    <w:rsid w:val="005B21FE"/>
    <w:rsid w:val="005B27D6"/>
    <w:rsid w:val="005B49AE"/>
    <w:rsid w:val="005B5CA3"/>
    <w:rsid w:val="005B6040"/>
    <w:rsid w:val="005B6448"/>
    <w:rsid w:val="005B69FE"/>
    <w:rsid w:val="005B724A"/>
    <w:rsid w:val="005C1293"/>
    <w:rsid w:val="005C1A72"/>
    <w:rsid w:val="005C1E66"/>
    <w:rsid w:val="005C2A2D"/>
    <w:rsid w:val="005C3BEA"/>
    <w:rsid w:val="005C5439"/>
    <w:rsid w:val="005D012F"/>
    <w:rsid w:val="005D0A39"/>
    <w:rsid w:val="005D19C4"/>
    <w:rsid w:val="005D2AB5"/>
    <w:rsid w:val="005D5ACD"/>
    <w:rsid w:val="005E54A8"/>
    <w:rsid w:val="005F263F"/>
    <w:rsid w:val="005F2F6A"/>
    <w:rsid w:val="005F333C"/>
    <w:rsid w:val="005F3BD7"/>
    <w:rsid w:val="005F5D3E"/>
    <w:rsid w:val="005F7DAA"/>
    <w:rsid w:val="00600C53"/>
    <w:rsid w:val="00603C50"/>
    <w:rsid w:val="00605742"/>
    <w:rsid w:val="00606568"/>
    <w:rsid w:val="00606B14"/>
    <w:rsid w:val="006070FC"/>
    <w:rsid w:val="006100BD"/>
    <w:rsid w:val="0061320E"/>
    <w:rsid w:val="00616499"/>
    <w:rsid w:val="00617A56"/>
    <w:rsid w:val="00617BA5"/>
    <w:rsid w:val="0062122B"/>
    <w:rsid w:val="0062122F"/>
    <w:rsid w:val="006213AC"/>
    <w:rsid w:val="00621716"/>
    <w:rsid w:val="0062259A"/>
    <w:rsid w:val="00623018"/>
    <w:rsid w:val="006231B3"/>
    <w:rsid w:val="00623452"/>
    <w:rsid w:val="006234E7"/>
    <w:rsid w:val="00624AD2"/>
    <w:rsid w:val="00624F92"/>
    <w:rsid w:val="00626F5F"/>
    <w:rsid w:val="0063165C"/>
    <w:rsid w:val="006368A0"/>
    <w:rsid w:val="00637A27"/>
    <w:rsid w:val="006409E2"/>
    <w:rsid w:val="00640B76"/>
    <w:rsid w:val="00642C59"/>
    <w:rsid w:val="00645DD5"/>
    <w:rsid w:val="0064729E"/>
    <w:rsid w:val="006473C2"/>
    <w:rsid w:val="00651913"/>
    <w:rsid w:val="00653DE2"/>
    <w:rsid w:val="006550C2"/>
    <w:rsid w:val="00657592"/>
    <w:rsid w:val="00657970"/>
    <w:rsid w:val="00661860"/>
    <w:rsid w:val="0066254F"/>
    <w:rsid w:val="006657E3"/>
    <w:rsid w:val="00670978"/>
    <w:rsid w:val="00671B5A"/>
    <w:rsid w:val="00673E24"/>
    <w:rsid w:val="00675E8F"/>
    <w:rsid w:val="00676F90"/>
    <w:rsid w:val="006801F6"/>
    <w:rsid w:val="0068089B"/>
    <w:rsid w:val="00681869"/>
    <w:rsid w:val="00682C06"/>
    <w:rsid w:val="006839B7"/>
    <w:rsid w:val="006866B9"/>
    <w:rsid w:val="00693D3D"/>
    <w:rsid w:val="00694174"/>
    <w:rsid w:val="0069468C"/>
    <w:rsid w:val="00694FF2"/>
    <w:rsid w:val="006952A8"/>
    <w:rsid w:val="00695628"/>
    <w:rsid w:val="00695725"/>
    <w:rsid w:val="00695B2B"/>
    <w:rsid w:val="00695FD3"/>
    <w:rsid w:val="00696AC2"/>
    <w:rsid w:val="006972AD"/>
    <w:rsid w:val="006A048E"/>
    <w:rsid w:val="006A0F4C"/>
    <w:rsid w:val="006A1278"/>
    <w:rsid w:val="006A1DF4"/>
    <w:rsid w:val="006A239A"/>
    <w:rsid w:val="006A278F"/>
    <w:rsid w:val="006A296E"/>
    <w:rsid w:val="006A2B5A"/>
    <w:rsid w:val="006A34D7"/>
    <w:rsid w:val="006A4295"/>
    <w:rsid w:val="006A759C"/>
    <w:rsid w:val="006B08A1"/>
    <w:rsid w:val="006B294C"/>
    <w:rsid w:val="006B3030"/>
    <w:rsid w:val="006B50A9"/>
    <w:rsid w:val="006B62E8"/>
    <w:rsid w:val="006C10BD"/>
    <w:rsid w:val="006C1A48"/>
    <w:rsid w:val="006C1C54"/>
    <w:rsid w:val="006C1DFB"/>
    <w:rsid w:val="006C1F41"/>
    <w:rsid w:val="006C3322"/>
    <w:rsid w:val="006C3727"/>
    <w:rsid w:val="006C4AF5"/>
    <w:rsid w:val="006C5EF3"/>
    <w:rsid w:val="006C625F"/>
    <w:rsid w:val="006C7972"/>
    <w:rsid w:val="006D1D09"/>
    <w:rsid w:val="006D437A"/>
    <w:rsid w:val="006D44E4"/>
    <w:rsid w:val="006D470F"/>
    <w:rsid w:val="006D47BB"/>
    <w:rsid w:val="006D4B53"/>
    <w:rsid w:val="006D4CA0"/>
    <w:rsid w:val="006D5028"/>
    <w:rsid w:val="006E0DC7"/>
    <w:rsid w:val="006E23A1"/>
    <w:rsid w:val="006E2E04"/>
    <w:rsid w:val="006E4404"/>
    <w:rsid w:val="006E4BDA"/>
    <w:rsid w:val="006E4D2A"/>
    <w:rsid w:val="006E6A74"/>
    <w:rsid w:val="006E6D28"/>
    <w:rsid w:val="006E72D4"/>
    <w:rsid w:val="006F0084"/>
    <w:rsid w:val="006F11F8"/>
    <w:rsid w:val="006F1FDA"/>
    <w:rsid w:val="006F219C"/>
    <w:rsid w:val="006F2A03"/>
    <w:rsid w:val="006F354B"/>
    <w:rsid w:val="006F355D"/>
    <w:rsid w:val="006F7317"/>
    <w:rsid w:val="007021C8"/>
    <w:rsid w:val="007027DA"/>
    <w:rsid w:val="00703E29"/>
    <w:rsid w:val="0070439B"/>
    <w:rsid w:val="007045D5"/>
    <w:rsid w:val="007047FB"/>
    <w:rsid w:val="007066B5"/>
    <w:rsid w:val="007068FF"/>
    <w:rsid w:val="00711565"/>
    <w:rsid w:val="00713477"/>
    <w:rsid w:val="00713E73"/>
    <w:rsid w:val="00715CA4"/>
    <w:rsid w:val="00716C77"/>
    <w:rsid w:val="0072016C"/>
    <w:rsid w:val="00722FF5"/>
    <w:rsid w:val="00726F72"/>
    <w:rsid w:val="00731D37"/>
    <w:rsid w:val="007320CF"/>
    <w:rsid w:val="00732583"/>
    <w:rsid w:val="0073631B"/>
    <w:rsid w:val="00736350"/>
    <w:rsid w:val="007408CD"/>
    <w:rsid w:val="00741679"/>
    <w:rsid w:val="007426AF"/>
    <w:rsid w:val="00743426"/>
    <w:rsid w:val="00743858"/>
    <w:rsid w:val="00744EAD"/>
    <w:rsid w:val="00745709"/>
    <w:rsid w:val="00750541"/>
    <w:rsid w:val="007507F0"/>
    <w:rsid w:val="007529A3"/>
    <w:rsid w:val="00753034"/>
    <w:rsid w:val="007536C6"/>
    <w:rsid w:val="00753E28"/>
    <w:rsid w:val="0075407B"/>
    <w:rsid w:val="00757A14"/>
    <w:rsid w:val="00760A40"/>
    <w:rsid w:val="00762D5D"/>
    <w:rsid w:val="00763267"/>
    <w:rsid w:val="00764133"/>
    <w:rsid w:val="0076420E"/>
    <w:rsid w:val="00764C1F"/>
    <w:rsid w:val="00767BF4"/>
    <w:rsid w:val="007706CA"/>
    <w:rsid w:val="00770EF2"/>
    <w:rsid w:val="007770D8"/>
    <w:rsid w:val="00781D96"/>
    <w:rsid w:val="00783402"/>
    <w:rsid w:val="00783579"/>
    <w:rsid w:val="00783EDC"/>
    <w:rsid w:val="0078426D"/>
    <w:rsid w:val="00786717"/>
    <w:rsid w:val="00790091"/>
    <w:rsid w:val="00790DBB"/>
    <w:rsid w:val="00790F88"/>
    <w:rsid w:val="00791592"/>
    <w:rsid w:val="00791AF9"/>
    <w:rsid w:val="00793061"/>
    <w:rsid w:val="00793C49"/>
    <w:rsid w:val="0079496C"/>
    <w:rsid w:val="00794D12"/>
    <w:rsid w:val="007956C2"/>
    <w:rsid w:val="0079663D"/>
    <w:rsid w:val="00797BB1"/>
    <w:rsid w:val="007A1105"/>
    <w:rsid w:val="007A1DD6"/>
    <w:rsid w:val="007A2EBB"/>
    <w:rsid w:val="007A7239"/>
    <w:rsid w:val="007A7D39"/>
    <w:rsid w:val="007B1190"/>
    <w:rsid w:val="007B1318"/>
    <w:rsid w:val="007B2352"/>
    <w:rsid w:val="007B5B95"/>
    <w:rsid w:val="007B5C94"/>
    <w:rsid w:val="007B7C27"/>
    <w:rsid w:val="007C41E4"/>
    <w:rsid w:val="007C4326"/>
    <w:rsid w:val="007C4345"/>
    <w:rsid w:val="007C4925"/>
    <w:rsid w:val="007C6B77"/>
    <w:rsid w:val="007C6FF4"/>
    <w:rsid w:val="007C74B0"/>
    <w:rsid w:val="007C79D0"/>
    <w:rsid w:val="007D0BAB"/>
    <w:rsid w:val="007D41FF"/>
    <w:rsid w:val="007D4566"/>
    <w:rsid w:val="007D50DE"/>
    <w:rsid w:val="007D514B"/>
    <w:rsid w:val="007D65D0"/>
    <w:rsid w:val="007D7497"/>
    <w:rsid w:val="007E009C"/>
    <w:rsid w:val="007E18BD"/>
    <w:rsid w:val="007E19A1"/>
    <w:rsid w:val="007E2536"/>
    <w:rsid w:val="007E27AD"/>
    <w:rsid w:val="007E4B7D"/>
    <w:rsid w:val="007E52CE"/>
    <w:rsid w:val="007F0323"/>
    <w:rsid w:val="007F1BC5"/>
    <w:rsid w:val="007F2DF4"/>
    <w:rsid w:val="007F3B0D"/>
    <w:rsid w:val="007F3F1F"/>
    <w:rsid w:val="007F4433"/>
    <w:rsid w:val="007F5DC5"/>
    <w:rsid w:val="007F6E47"/>
    <w:rsid w:val="00800606"/>
    <w:rsid w:val="00802123"/>
    <w:rsid w:val="00802527"/>
    <w:rsid w:val="008028DD"/>
    <w:rsid w:val="00802ECE"/>
    <w:rsid w:val="00804953"/>
    <w:rsid w:val="00804A27"/>
    <w:rsid w:val="0080584B"/>
    <w:rsid w:val="00806F11"/>
    <w:rsid w:val="0080779A"/>
    <w:rsid w:val="008123DA"/>
    <w:rsid w:val="008132CB"/>
    <w:rsid w:val="00813CF0"/>
    <w:rsid w:val="00815C40"/>
    <w:rsid w:val="00816554"/>
    <w:rsid w:val="0081655B"/>
    <w:rsid w:val="008171D1"/>
    <w:rsid w:val="0081743D"/>
    <w:rsid w:val="008179CC"/>
    <w:rsid w:val="00817B44"/>
    <w:rsid w:val="00820108"/>
    <w:rsid w:val="00823178"/>
    <w:rsid w:val="008236B9"/>
    <w:rsid w:val="00823EA6"/>
    <w:rsid w:val="00825687"/>
    <w:rsid w:val="008275C1"/>
    <w:rsid w:val="00827D09"/>
    <w:rsid w:val="00827E31"/>
    <w:rsid w:val="00831F1F"/>
    <w:rsid w:val="008320FF"/>
    <w:rsid w:val="008324B1"/>
    <w:rsid w:val="0083765A"/>
    <w:rsid w:val="008400D8"/>
    <w:rsid w:val="00841614"/>
    <w:rsid w:val="0084320E"/>
    <w:rsid w:val="00843270"/>
    <w:rsid w:val="0084483E"/>
    <w:rsid w:val="00844B2F"/>
    <w:rsid w:val="008479A0"/>
    <w:rsid w:val="00847F23"/>
    <w:rsid w:val="00850941"/>
    <w:rsid w:val="00850CA7"/>
    <w:rsid w:val="008521E6"/>
    <w:rsid w:val="00853723"/>
    <w:rsid w:val="0086010D"/>
    <w:rsid w:val="008618A8"/>
    <w:rsid w:val="00861981"/>
    <w:rsid w:val="00862038"/>
    <w:rsid w:val="00862F01"/>
    <w:rsid w:val="008641EC"/>
    <w:rsid w:val="0086548C"/>
    <w:rsid w:val="00872991"/>
    <w:rsid w:val="00874291"/>
    <w:rsid w:val="0087429B"/>
    <w:rsid w:val="00874C85"/>
    <w:rsid w:val="00874EA9"/>
    <w:rsid w:val="00875322"/>
    <w:rsid w:val="008758B4"/>
    <w:rsid w:val="00875B5A"/>
    <w:rsid w:val="008779E3"/>
    <w:rsid w:val="00883079"/>
    <w:rsid w:val="008850DF"/>
    <w:rsid w:val="00885E26"/>
    <w:rsid w:val="008862BD"/>
    <w:rsid w:val="00892109"/>
    <w:rsid w:val="00893020"/>
    <w:rsid w:val="00893D7E"/>
    <w:rsid w:val="00895125"/>
    <w:rsid w:val="00895B6F"/>
    <w:rsid w:val="00895CC6"/>
    <w:rsid w:val="00895CE3"/>
    <w:rsid w:val="0089791D"/>
    <w:rsid w:val="008A2BA4"/>
    <w:rsid w:val="008A2EA7"/>
    <w:rsid w:val="008A4B1D"/>
    <w:rsid w:val="008A7065"/>
    <w:rsid w:val="008A74CD"/>
    <w:rsid w:val="008B1980"/>
    <w:rsid w:val="008B20E3"/>
    <w:rsid w:val="008C21FF"/>
    <w:rsid w:val="008C3CA7"/>
    <w:rsid w:val="008C5F1B"/>
    <w:rsid w:val="008C6FCB"/>
    <w:rsid w:val="008C74F8"/>
    <w:rsid w:val="008D233F"/>
    <w:rsid w:val="008D24BA"/>
    <w:rsid w:val="008D36F1"/>
    <w:rsid w:val="008D442F"/>
    <w:rsid w:val="008D54B8"/>
    <w:rsid w:val="008D6065"/>
    <w:rsid w:val="008E2557"/>
    <w:rsid w:val="008E43F9"/>
    <w:rsid w:val="008E4942"/>
    <w:rsid w:val="008F17D9"/>
    <w:rsid w:val="008F3B60"/>
    <w:rsid w:val="008F4B58"/>
    <w:rsid w:val="008F7DE6"/>
    <w:rsid w:val="0090401A"/>
    <w:rsid w:val="00905EE4"/>
    <w:rsid w:val="0090667B"/>
    <w:rsid w:val="00910D30"/>
    <w:rsid w:val="00910DC5"/>
    <w:rsid w:val="009120EE"/>
    <w:rsid w:val="009127AD"/>
    <w:rsid w:val="00912B4B"/>
    <w:rsid w:val="00912C96"/>
    <w:rsid w:val="00915691"/>
    <w:rsid w:val="00916D65"/>
    <w:rsid w:val="009174FC"/>
    <w:rsid w:val="00920153"/>
    <w:rsid w:val="0092045A"/>
    <w:rsid w:val="00920E33"/>
    <w:rsid w:val="0092103F"/>
    <w:rsid w:val="009227E1"/>
    <w:rsid w:val="00922B13"/>
    <w:rsid w:val="00922BE1"/>
    <w:rsid w:val="00923C97"/>
    <w:rsid w:val="00923F29"/>
    <w:rsid w:val="00924617"/>
    <w:rsid w:val="0092509D"/>
    <w:rsid w:val="009250DD"/>
    <w:rsid w:val="0093065C"/>
    <w:rsid w:val="00931A2C"/>
    <w:rsid w:val="009329D8"/>
    <w:rsid w:val="00933A58"/>
    <w:rsid w:val="00933DEA"/>
    <w:rsid w:val="00934347"/>
    <w:rsid w:val="009362CF"/>
    <w:rsid w:val="0093666C"/>
    <w:rsid w:val="00936DA7"/>
    <w:rsid w:val="009375BC"/>
    <w:rsid w:val="00940A61"/>
    <w:rsid w:val="00941D6B"/>
    <w:rsid w:val="00945597"/>
    <w:rsid w:val="00946FE6"/>
    <w:rsid w:val="009472E6"/>
    <w:rsid w:val="00950254"/>
    <w:rsid w:val="00951D0B"/>
    <w:rsid w:val="00954D92"/>
    <w:rsid w:val="00957251"/>
    <w:rsid w:val="00961821"/>
    <w:rsid w:val="00961F24"/>
    <w:rsid w:val="00962394"/>
    <w:rsid w:val="009641CE"/>
    <w:rsid w:val="00964290"/>
    <w:rsid w:val="0096442C"/>
    <w:rsid w:val="0096478F"/>
    <w:rsid w:val="009667B1"/>
    <w:rsid w:val="00966F23"/>
    <w:rsid w:val="00967C33"/>
    <w:rsid w:val="0097597C"/>
    <w:rsid w:val="00977156"/>
    <w:rsid w:val="0097783C"/>
    <w:rsid w:val="00982517"/>
    <w:rsid w:val="009825C9"/>
    <w:rsid w:val="00983C8C"/>
    <w:rsid w:val="00986AD5"/>
    <w:rsid w:val="00986B35"/>
    <w:rsid w:val="00986B9F"/>
    <w:rsid w:val="0099024A"/>
    <w:rsid w:val="009905C0"/>
    <w:rsid w:val="009910DC"/>
    <w:rsid w:val="0099380B"/>
    <w:rsid w:val="009949A3"/>
    <w:rsid w:val="00995B5F"/>
    <w:rsid w:val="00995BC9"/>
    <w:rsid w:val="009975D3"/>
    <w:rsid w:val="009A181E"/>
    <w:rsid w:val="009A25BE"/>
    <w:rsid w:val="009A32BE"/>
    <w:rsid w:val="009A413A"/>
    <w:rsid w:val="009A436D"/>
    <w:rsid w:val="009A470F"/>
    <w:rsid w:val="009A6299"/>
    <w:rsid w:val="009B1408"/>
    <w:rsid w:val="009B1698"/>
    <w:rsid w:val="009B32DF"/>
    <w:rsid w:val="009B4A38"/>
    <w:rsid w:val="009C040B"/>
    <w:rsid w:val="009C2B54"/>
    <w:rsid w:val="009C49FC"/>
    <w:rsid w:val="009C5357"/>
    <w:rsid w:val="009C5513"/>
    <w:rsid w:val="009C6286"/>
    <w:rsid w:val="009D0E95"/>
    <w:rsid w:val="009D4D0C"/>
    <w:rsid w:val="009D5046"/>
    <w:rsid w:val="009D5D3D"/>
    <w:rsid w:val="009D66BC"/>
    <w:rsid w:val="009E0905"/>
    <w:rsid w:val="009E0DBB"/>
    <w:rsid w:val="009E116C"/>
    <w:rsid w:val="009E117E"/>
    <w:rsid w:val="009E305C"/>
    <w:rsid w:val="009E3C53"/>
    <w:rsid w:val="009E427C"/>
    <w:rsid w:val="009E4524"/>
    <w:rsid w:val="009E59FE"/>
    <w:rsid w:val="009E6C34"/>
    <w:rsid w:val="009E7949"/>
    <w:rsid w:val="009E7FBD"/>
    <w:rsid w:val="009F086C"/>
    <w:rsid w:val="009F16FC"/>
    <w:rsid w:val="009F2658"/>
    <w:rsid w:val="009F2B9D"/>
    <w:rsid w:val="009F3E8D"/>
    <w:rsid w:val="009F4009"/>
    <w:rsid w:val="009F56AA"/>
    <w:rsid w:val="009F6478"/>
    <w:rsid w:val="009F6D67"/>
    <w:rsid w:val="009F734A"/>
    <w:rsid w:val="00A01089"/>
    <w:rsid w:val="00A01CCB"/>
    <w:rsid w:val="00A03AC5"/>
    <w:rsid w:val="00A04477"/>
    <w:rsid w:val="00A05226"/>
    <w:rsid w:val="00A10C2F"/>
    <w:rsid w:val="00A110F7"/>
    <w:rsid w:val="00A11F50"/>
    <w:rsid w:val="00A121AE"/>
    <w:rsid w:val="00A1272B"/>
    <w:rsid w:val="00A127E2"/>
    <w:rsid w:val="00A13508"/>
    <w:rsid w:val="00A17753"/>
    <w:rsid w:val="00A17F57"/>
    <w:rsid w:val="00A20841"/>
    <w:rsid w:val="00A2294D"/>
    <w:rsid w:val="00A233D6"/>
    <w:rsid w:val="00A23C95"/>
    <w:rsid w:val="00A248F8"/>
    <w:rsid w:val="00A25829"/>
    <w:rsid w:val="00A272D7"/>
    <w:rsid w:val="00A27448"/>
    <w:rsid w:val="00A306E0"/>
    <w:rsid w:val="00A30CFF"/>
    <w:rsid w:val="00A36464"/>
    <w:rsid w:val="00A36B59"/>
    <w:rsid w:val="00A377B7"/>
    <w:rsid w:val="00A378B5"/>
    <w:rsid w:val="00A379FF"/>
    <w:rsid w:val="00A42D80"/>
    <w:rsid w:val="00A44E48"/>
    <w:rsid w:val="00A45ADD"/>
    <w:rsid w:val="00A461C9"/>
    <w:rsid w:val="00A467C5"/>
    <w:rsid w:val="00A476CC"/>
    <w:rsid w:val="00A51DB7"/>
    <w:rsid w:val="00A5638A"/>
    <w:rsid w:val="00A57E05"/>
    <w:rsid w:val="00A60370"/>
    <w:rsid w:val="00A60549"/>
    <w:rsid w:val="00A60ADB"/>
    <w:rsid w:val="00A62B23"/>
    <w:rsid w:val="00A6369F"/>
    <w:rsid w:val="00A63CA9"/>
    <w:rsid w:val="00A64B8B"/>
    <w:rsid w:val="00A64D07"/>
    <w:rsid w:val="00A659FF"/>
    <w:rsid w:val="00A65EC1"/>
    <w:rsid w:val="00A673DA"/>
    <w:rsid w:val="00A67BFB"/>
    <w:rsid w:val="00A71AA7"/>
    <w:rsid w:val="00A7292B"/>
    <w:rsid w:val="00A751EF"/>
    <w:rsid w:val="00A7566D"/>
    <w:rsid w:val="00A77586"/>
    <w:rsid w:val="00A776FC"/>
    <w:rsid w:val="00A802B0"/>
    <w:rsid w:val="00A80C40"/>
    <w:rsid w:val="00A8102B"/>
    <w:rsid w:val="00A81150"/>
    <w:rsid w:val="00A8671B"/>
    <w:rsid w:val="00A8756A"/>
    <w:rsid w:val="00A8769C"/>
    <w:rsid w:val="00A87AFC"/>
    <w:rsid w:val="00A916EB"/>
    <w:rsid w:val="00A91C63"/>
    <w:rsid w:val="00A934C6"/>
    <w:rsid w:val="00A93D77"/>
    <w:rsid w:val="00A94414"/>
    <w:rsid w:val="00A977FF"/>
    <w:rsid w:val="00A97AD7"/>
    <w:rsid w:val="00AA2893"/>
    <w:rsid w:val="00AA340E"/>
    <w:rsid w:val="00AA34B0"/>
    <w:rsid w:val="00AA4F59"/>
    <w:rsid w:val="00AA5727"/>
    <w:rsid w:val="00AA6E1E"/>
    <w:rsid w:val="00AA76F3"/>
    <w:rsid w:val="00AA7AF8"/>
    <w:rsid w:val="00AA7BE9"/>
    <w:rsid w:val="00AB0AD2"/>
    <w:rsid w:val="00AB0DF0"/>
    <w:rsid w:val="00AB186B"/>
    <w:rsid w:val="00AB3D8D"/>
    <w:rsid w:val="00AC0AEF"/>
    <w:rsid w:val="00AC0D81"/>
    <w:rsid w:val="00AC0FF2"/>
    <w:rsid w:val="00AC2095"/>
    <w:rsid w:val="00AC2381"/>
    <w:rsid w:val="00AC31B7"/>
    <w:rsid w:val="00AC4141"/>
    <w:rsid w:val="00AC4298"/>
    <w:rsid w:val="00AC5424"/>
    <w:rsid w:val="00AC5C9A"/>
    <w:rsid w:val="00AC7B75"/>
    <w:rsid w:val="00AD0D2C"/>
    <w:rsid w:val="00AD1AD1"/>
    <w:rsid w:val="00AD1E8A"/>
    <w:rsid w:val="00AD3778"/>
    <w:rsid w:val="00AD5A67"/>
    <w:rsid w:val="00AD5ADA"/>
    <w:rsid w:val="00AD68A0"/>
    <w:rsid w:val="00AD6CB7"/>
    <w:rsid w:val="00AD749D"/>
    <w:rsid w:val="00AE0C55"/>
    <w:rsid w:val="00AE1E61"/>
    <w:rsid w:val="00AE1E7A"/>
    <w:rsid w:val="00AE295B"/>
    <w:rsid w:val="00AE5614"/>
    <w:rsid w:val="00AE6230"/>
    <w:rsid w:val="00AE6335"/>
    <w:rsid w:val="00AE73E0"/>
    <w:rsid w:val="00AE7BD5"/>
    <w:rsid w:val="00AF24B8"/>
    <w:rsid w:val="00AF7804"/>
    <w:rsid w:val="00AF7D54"/>
    <w:rsid w:val="00B05663"/>
    <w:rsid w:val="00B05779"/>
    <w:rsid w:val="00B05BB9"/>
    <w:rsid w:val="00B05C19"/>
    <w:rsid w:val="00B07755"/>
    <w:rsid w:val="00B07953"/>
    <w:rsid w:val="00B129EE"/>
    <w:rsid w:val="00B130A9"/>
    <w:rsid w:val="00B13BC4"/>
    <w:rsid w:val="00B14848"/>
    <w:rsid w:val="00B1515C"/>
    <w:rsid w:val="00B17161"/>
    <w:rsid w:val="00B171C0"/>
    <w:rsid w:val="00B179B0"/>
    <w:rsid w:val="00B22799"/>
    <w:rsid w:val="00B24F53"/>
    <w:rsid w:val="00B261E3"/>
    <w:rsid w:val="00B26295"/>
    <w:rsid w:val="00B26F54"/>
    <w:rsid w:val="00B33D43"/>
    <w:rsid w:val="00B34866"/>
    <w:rsid w:val="00B3536A"/>
    <w:rsid w:val="00B35A83"/>
    <w:rsid w:val="00B3633B"/>
    <w:rsid w:val="00B37384"/>
    <w:rsid w:val="00B376E1"/>
    <w:rsid w:val="00B37930"/>
    <w:rsid w:val="00B37AA0"/>
    <w:rsid w:val="00B419F3"/>
    <w:rsid w:val="00B428EE"/>
    <w:rsid w:val="00B45DA2"/>
    <w:rsid w:val="00B47559"/>
    <w:rsid w:val="00B500D9"/>
    <w:rsid w:val="00B50AD3"/>
    <w:rsid w:val="00B527DB"/>
    <w:rsid w:val="00B55567"/>
    <w:rsid w:val="00B556E1"/>
    <w:rsid w:val="00B563D5"/>
    <w:rsid w:val="00B578AC"/>
    <w:rsid w:val="00B61080"/>
    <w:rsid w:val="00B626BE"/>
    <w:rsid w:val="00B631A7"/>
    <w:rsid w:val="00B63FD7"/>
    <w:rsid w:val="00B64A77"/>
    <w:rsid w:val="00B67E7B"/>
    <w:rsid w:val="00B704E8"/>
    <w:rsid w:val="00B720FE"/>
    <w:rsid w:val="00B73494"/>
    <w:rsid w:val="00B76145"/>
    <w:rsid w:val="00B7750C"/>
    <w:rsid w:val="00B80082"/>
    <w:rsid w:val="00B80098"/>
    <w:rsid w:val="00B80D26"/>
    <w:rsid w:val="00B81F4C"/>
    <w:rsid w:val="00B82CA2"/>
    <w:rsid w:val="00B863CB"/>
    <w:rsid w:val="00B866DA"/>
    <w:rsid w:val="00B877B5"/>
    <w:rsid w:val="00B94580"/>
    <w:rsid w:val="00B95678"/>
    <w:rsid w:val="00B9571C"/>
    <w:rsid w:val="00B96968"/>
    <w:rsid w:val="00B97784"/>
    <w:rsid w:val="00BA010E"/>
    <w:rsid w:val="00BA0ADA"/>
    <w:rsid w:val="00BA1717"/>
    <w:rsid w:val="00BA2135"/>
    <w:rsid w:val="00BA26F0"/>
    <w:rsid w:val="00BA300D"/>
    <w:rsid w:val="00BA44B8"/>
    <w:rsid w:val="00BA781D"/>
    <w:rsid w:val="00BB1326"/>
    <w:rsid w:val="00BB196B"/>
    <w:rsid w:val="00BB1BE4"/>
    <w:rsid w:val="00BB20C8"/>
    <w:rsid w:val="00BB2206"/>
    <w:rsid w:val="00BB2CD4"/>
    <w:rsid w:val="00BB2FA8"/>
    <w:rsid w:val="00BB380A"/>
    <w:rsid w:val="00BB5A72"/>
    <w:rsid w:val="00BB6646"/>
    <w:rsid w:val="00BB6861"/>
    <w:rsid w:val="00BB7170"/>
    <w:rsid w:val="00BB723D"/>
    <w:rsid w:val="00BC0C1C"/>
    <w:rsid w:val="00BC23B8"/>
    <w:rsid w:val="00BC3E49"/>
    <w:rsid w:val="00BC501A"/>
    <w:rsid w:val="00BC6980"/>
    <w:rsid w:val="00BC6EC9"/>
    <w:rsid w:val="00BD30D9"/>
    <w:rsid w:val="00BD486D"/>
    <w:rsid w:val="00BD6762"/>
    <w:rsid w:val="00BD77D1"/>
    <w:rsid w:val="00BE0AE1"/>
    <w:rsid w:val="00BE27B3"/>
    <w:rsid w:val="00BE3555"/>
    <w:rsid w:val="00BE3E76"/>
    <w:rsid w:val="00BE5ECA"/>
    <w:rsid w:val="00BE5FBC"/>
    <w:rsid w:val="00BE6359"/>
    <w:rsid w:val="00BE7747"/>
    <w:rsid w:val="00BF0341"/>
    <w:rsid w:val="00BF1671"/>
    <w:rsid w:val="00BF1DC3"/>
    <w:rsid w:val="00BF60A8"/>
    <w:rsid w:val="00BF60B4"/>
    <w:rsid w:val="00BF64B7"/>
    <w:rsid w:val="00BF76FB"/>
    <w:rsid w:val="00C00725"/>
    <w:rsid w:val="00C00EAE"/>
    <w:rsid w:val="00C0429A"/>
    <w:rsid w:val="00C05DA2"/>
    <w:rsid w:val="00C064B6"/>
    <w:rsid w:val="00C065E5"/>
    <w:rsid w:val="00C06959"/>
    <w:rsid w:val="00C10F88"/>
    <w:rsid w:val="00C123E0"/>
    <w:rsid w:val="00C1658A"/>
    <w:rsid w:val="00C20B17"/>
    <w:rsid w:val="00C23487"/>
    <w:rsid w:val="00C30EAF"/>
    <w:rsid w:val="00C3104B"/>
    <w:rsid w:val="00C325C6"/>
    <w:rsid w:val="00C339FE"/>
    <w:rsid w:val="00C3513C"/>
    <w:rsid w:val="00C4009F"/>
    <w:rsid w:val="00C42B06"/>
    <w:rsid w:val="00C4421E"/>
    <w:rsid w:val="00C46A68"/>
    <w:rsid w:val="00C47980"/>
    <w:rsid w:val="00C5170E"/>
    <w:rsid w:val="00C518E2"/>
    <w:rsid w:val="00C5253C"/>
    <w:rsid w:val="00C54132"/>
    <w:rsid w:val="00C54313"/>
    <w:rsid w:val="00C54534"/>
    <w:rsid w:val="00C55212"/>
    <w:rsid w:val="00C55970"/>
    <w:rsid w:val="00C56271"/>
    <w:rsid w:val="00C56431"/>
    <w:rsid w:val="00C56752"/>
    <w:rsid w:val="00C60ADD"/>
    <w:rsid w:val="00C61E05"/>
    <w:rsid w:val="00C628ED"/>
    <w:rsid w:val="00C66AD0"/>
    <w:rsid w:val="00C725B2"/>
    <w:rsid w:val="00C7265E"/>
    <w:rsid w:val="00C74925"/>
    <w:rsid w:val="00C80311"/>
    <w:rsid w:val="00C80E31"/>
    <w:rsid w:val="00C82EF2"/>
    <w:rsid w:val="00C856CE"/>
    <w:rsid w:val="00C87DDA"/>
    <w:rsid w:val="00C93FA3"/>
    <w:rsid w:val="00C95BE8"/>
    <w:rsid w:val="00C969DC"/>
    <w:rsid w:val="00C97782"/>
    <w:rsid w:val="00CA05D0"/>
    <w:rsid w:val="00CA2ECC"/>
    <w:rsid w:val="00CA30AE"/>
    <w:rsid w:val="00CA3129"/>
    <w:rsid w:val="00CA4EC9"/>
    <w:rsid w:val="00CA630A"/>
    <w:rsid w:val="00CA64AE"/>
    <w:rsid w:val="00CA67A8"/>
    <w:rsid w:val="00CA7838"/>
    <w:rsid w:val="00CA795B"/>
    <w:rsid w:val="00CA79D9"/>
    <w:rsid w:val="00CB08BF"/>
    <w:rsid w:val="00CB0A2F"/>
    <w:rsid w:val="00CB27B9"/>
    <w:rsid w:val="00CB3C7A"/>
    <w:rsid w:val="00CB3FEC"/>
    <w:rsid w:val="00CB4097"/>
    <w:rsid w:val="00CB4D78"/>
    <w:rsid w:val="00CB5B45"/>
    <w:rsid w:val="00CB6828"/>
    <w:rsid w:val="00CB6C01"/>
    <w:rsid w:val="00CC0E96"/>
    <w:rsid w:val="00CC134B"/>
    <w:rsid w:val="00CC1E4A"/>
    <w:rsid w:val="00CC2EDD"/>
    <w:rsid w:val="00CC3842"/>
    <w:rsid w:val="00CC45E3"/>
    <w:rsid w:val="00CC4C20"/>
    <w:rsid w:val="00CC55A7"/>
    <w:rsid w:val="00CC6482"/>
    <w:rsid w:val="00CC67F0"/>
    <w:rsid w:val="00CD058C"/>
    <w:rsid w:val="00CD17BF"/>
    <w:rsid w:val="00CD2485"/>
    <w:rsid w:val="00CD3C82"/>
    <w:rsid w:val="00CD4B8D"/>
    <w:rsid w:val="00CD63E7"/>
    <w:rsid w:val="00CD68B1"/>
    <w:rsid w:val="00CD6C86"/>
    <w:rsid w:val="00CD7F22"/>
    <w:rsid w:val="00CE2426"/>
    <w:rsid w:val="00CE369D"/>
    <w:rsid w:val="00CE5A57"/>
    <w:rsid w:val="00CE60EC"/>
    <w:rsid w:val="00CE74E3"/>
    <w:rsid w:val="00CF2BD9"/>
    <w:rsid w:val="00CF4A9A"/>
    <w:rsid w:val="00CF4B77"/>
    <w:rsid w:val="00CF5DFF"/>
    <w:rsid w:val="00CF5EFF"/>
    <w:rsid w:val="00D022DF"/>
    <w:rsid w:val="00D03154"/>
    <w:rsid w:val="00D0498E"/>
    <w:rsid w:val="00D05B51"/>
    <w:rsid w:val="00D06EB9"/>
    <w:rsid w:val="00D105F7"/>
    <w:rsid w:val="00D13A60"/>
    <w:rsid w:val="00D152BB"/>
    <w:rsid w:val="00D21258"/>
    <w:rsid w:val="00D227AC"/>
    <w:rsid w:val="00D22891"/>
    <w:rsid w:val="00D22AB7"/>
    <w:rsid w:val="00D241FB"/>
    <w:rsid w:val="00D24EB9"/>
    <w:rsid w:val="00D26173"/>
    <w:rsid w:val="00D2687B"/>
    <w:rsid w:val="00D462FC"/>
    <w:rsid w:val="00D46AD8"/>
    <w:rsid w:val="00D5420F"/>
    <w:rsid w:val="00D551FB"/>
    <w:rsid w:val="00D56737"/>
    <w:rsid w:val="00D56831"/>
    <w:rsid w:val="00D56A68"/>
    <w:rsid w:val="00D60177"/>
    <w:rsid w:val="00D6169C"/>
    <w:rsid w:val="00D6320C"/>
    <w:rsid w:val="00D6496B"/>
    <w:rsid w:val="00D6617A"/>
    <w:rsid w:val="00D71E90"/>
    <w:rsid w:val="00D72C4A"/>
    <w:rsid w:val="00D739AF"/>
    <w:rsid w:val="00D7454F"/>
    <w:rsid w:val="00D745C1"/>
    <w:rsid w:val="00D751BA"/>
    <w:rsid w:val="00D774EE"/>
    <w:rsid w:val="00D77E85"/>
    <w:rsid w:val="00D80976"/>
    <w:rsid w:val="00D82A38"/>
    <w:rsid w:val="00D8508A"/>
    <w:rsid w:val="00D8599C"/>
    <w:rsid w:val="00D85C32"/>
    <w:rsid w:val="00D864E1"/>
    <w:rsid w:val="00D91CA2"/>
    <w:rsid w:val="00D92CFB"/>
    <w:rsid w:val="00D933F3"/>
    <w:rsid w:val="00D93437"/>
    <w:rsid w:val="00D93C31"/>
    <w:rsid w:val="00D97500"/>
    <w:rsid w:val="00D97CC9"/>
    <w:rsid w:val="00DA1A62"/>
    <w:rsid w:val="00DA1A7D"/>
    <w:rsid w:val="00DA28ED"/>
    <w:rsid w:val="00DA3231"/>
    <w:rsid w:val="00DA3542"/>
    <w:rsid w:val="00DA37A3"/>
    <w:rsid w:val="00DA7587"/>
    <w:rsid w:val="00DB0A75"/>
    <w:rsid w:val="00DB3FD3"/>
    <w:rsid w:val="00DB447A"/>
    <w:rsid w:val="00DB540E"/>
    <w:rsid w:val="00DB5981"/>
    <w:rsid w:val="00DB6F13"/>
    <w:rsid w:val="00DC0321"/>
    <w:rsid w:val="00DC636B"/>
    <w:rsid w:val="00DC6522"/>
    <w:rsid w:val="00DC67FE"/>
    <w:rsid w:val="00DC6CE7"/>
    <w:rsid w:val="00DC7182"/>
    <w:rsid w:val="00DD3E47"/>
    <w:rsid w:val="00DD5993"/>
    <w:rsid w:val="00DE01DC"/>
    <w:rsid w:val="00DE11F4"/>
    <w:rsid w:val="00DE4AE8"/>
    <w:rsid w:val="00DE52EF"/>
    <w:rsid w:val="00DE5720"/>
    <w:rsid w:val="00DF0913"/>
    <w:rsid w:val="00DF12F2"/>
    <w:rsid w:val="00DF1ACD"/>
    <w:rsid w:val="00DF3211"/>
    <w:rsid w:val="00DF3413"/>
    <w:rsid w:val="00DF375C"/>
    <w:rsid w:val="00DF457E"/>
    <w:rsid w:val="00DF72A5"/>
    <w:rsid w:val="00DF74D7"/>
    <w:rsid w:val="00E00112"/>
    <w:rsid w:val="00E00CA0"/>
    <w:rsid w:val="00E01AD4"/>
    <w:rsid w:val="00E02082"/>
    <w:rsid w:val="00E0449F"/>
    <w:rsid w:val="00E05FAE"/>
    <w:rsid w:val="00E07C7D"/>
    <w:rsid w:val="00E1074D"/>
    <w:rsid w:val="00E1769E"/>
    <w:rsid w:val="00E20B59"/>
    <w:rsid w:val="00E22713"/>
    <w:rsid w:val="00E25B01"/>
    <w:rsid w:val="00E25F7C"/>
    <w:rsid w:val="00E26418"/>
    <w:rsid w:val="00E26684"/>
    <w:rsid w:val="00E2785D"/>
    <w:rsid w:val="00E3156F"/>
    <w:rsid w:val="00E3330C"/>
    <w:rsid w:val="00E353B5"/>
    <w:rsid w:val="00E35F38"/>
    <w:rsid w:val="00E36A5E"/>
    <w:rsid w:val="00E370E8"/>
    <w:rsid w:val="00E40AFD"/>
    <w:rsid w:val="00E43C70"/>
    <w:rsid w:val="00E43D59"/>
    <w:rsid w:val="00E442BF"/>
    <w:rsid w:val="00E44D33"/>
    <w:rsid w:val="00E455D6"/>
    <w:rsid w:val="00E474F3"/>
    <w:rsid w:val="00E50CA9"/>
    <w:rsid w:val="00E52958"/>
    <w:rsid w:val="00E52A75"/>
    <w:rsid w:val="00E53CAF"/>
    <w:rsid w:val="00E5436E"/>
    <w:rsid w:val="00E54ED0"/>
    <w:rsid w:val="00E55371"/>
    <w:rsid w:val="00E558C6"/>
    <w:rsid w:val="00E61D8A"/>
    <w:rsid w:val="00E6257C"/>
    <w:rsid w:val="00E62B09"/>
    <w:rsid w:val="00E63302"/>
    <w:rsid w:val="00E63756"/>
    <w:rsid w:val="00E63C75"/>
    <w:rsid w:val="00E6483B"/>
    <w:rsid w:val="00E64F11"/>
    <w:rsid w:val="00E65907"/>
    <w:rsid w:val="00E659C8"/>
    <w:rsid w:val="00E65ECF"/>
    <w:rsid w:val="00E66524"/>
    <w:rsid w:val="00E7533A"/>
    <w:rsid w:val="00E76AE9"/>
    <w:rsid w:val="00E80913"/>
    <w:rsid w:val="00E80C4B"/>
    <w:rsid w:val="00E85FD6"/>
    <w:rsid w:val="00E8710C"/>
    <w:rsid w:val="00E877D1"/>
    <w:rsid w:val="00E90FF8"/>
    <w:rsid w:val="00E911DA"/>
    <w:rsid w:val="00E91DB2"/>
    <w:rsid w:val="00E927BC"/>
    <w:rsid w:val="00E9580D"/>
    <w:rsid w:val="00E95942"/>
    <w:rsid w:val="00E95AD3"/>
    <w:rsid w:val="00E97287"/>
    <w:rsid w:val="00EA0975"/>
    <w:rsid w:val="00EA199E"/>
    <w:rsid w:val="00EA6C0C"/>
    <w:rsid w:val="00EB0E88"/>
    <w:rsid w:val="00EB27C1"/>
    <w:rsid w:val="00EB656C"/>
    <w:rsid w:val="00EB6CC8"/>
    <w:rsid w:val="00EB6EEF"/>
    <w:rsid w:val="00EB6F62"/>
    <w:rsid w:val="00EB701B"/>
    <w:rsid w:val="00EB76BB"/>
    <w:rsid w:val="00EC00CD"/>
    <w:rsid w:val="00EC026E"/>
    <w:rsid w:val="00EC2742"/>
    <w:rsid w:val="00EC4D27"/>
    <w:rsid w:val="00EC591E"/>
    <w:rsid w:val="00EC6557"/>
    <w:rsid w:val="00ED38DC"/>
    <w:rsid w:val="00ED47B3"/>
    <w:rsid w:val="00ED485B"/>
    <w:rsid w:val="00ED594B"/>
    <w:rsid w:val="00ED6BF6"/>
    <w:rsid w:val="00ED6E68"/>
    <w:rsid w:val="00ED6F5A"/>
    <w:rsid w:val="00EE065C"/>
    <w:rsid w:val="00EE0866"/>
    <w:rsid w:val="00EE14DA"/>
    <w:rsid w:val="00EE14FF"/>
    <w:rsid w:val="00EE1825"/>
    <w:rsid w:val="00EE44E4"/>
    <w:rsid w:val="00EE56F2"/>
    <w:rsid w:val="00EF2128"/>
    <w:rsid w:val="00EF244C"/>
    <w:rsid w:val="00EF686B"/>
    <w:rsid w:val="00EF6D0F"/>
    <w:rsid w:val="00EF747A"/>
    <w:rsid w:val="00F04380"/>
    <w:rsid w:val="00F066B1"/>
    <w:rsid w:val="00F06851"/>
    <w:rsid w:val="00F06BF3"/>
    <w:rsid w:val="00F07183"/>
    <w:rsid w:val="00F07D59"/>
    <w:rsid w:val="00F1187B"/>
    <w:rsid w:val="00F12D65"/>
    <w:rsid w:val="00F13A5E"/>
    <w:rsid w:val="00F14B19"/>
    <w:rsid w:val="00F15563"/>
    <w:rsid w:val="00F169F9"/>
    <w:rsid w:val="00F16D4D"/>
    <w:rsid w:val="00F21096"/>
    <w:rsid w:val="00F211A6"/>
    <w:rsid w:val="00F21D98"/>
    <w:rsid w:val="00F23630"/>
    <w:rsid w:val="00F27B56"/>
    <w:rsid w:val="00F30C65"/>
    <w:rsid w:val="00F31DFF"/>
    <w:rsid w:val="00F33150"/>
    <w:rsid w:val="00F40748"/>
    <w:rsid w:val="00F41318"/>
    <w:rsid w:val="00F41858"/>
    <w:rsid w:val="00F43A35"/>
    <w:rsid w:val="00F461B0"/>
    <w:rsid w:val="00F467B4"/>
    <w:rsid w:val="00F472C7"/>
    <w:rsid w:val="00F47E07"/>
    <w:rsid w:val="00F50007"/>
    <w:rsid w:val="00F500A7"/>
    <w:rsid w:val="00F51111"/>
    <w:rsid w:val="00F517AE"/>
    <w:rsid w:val="00F52176"/>
    <w:rsid w:val="00F5280C"/>
    <w:rsid w:val="00F53692"/>
    <w:rsid w:val="00F537DC"/>
    <w:rsid w:val="00F53AEC"/>
    <w:rsid w:val="00F54B80"/>
    <w:rsid w:val="00F577C6"/>
    <w:rsid w:val="00F57AD5"/>
    <w:rsid w:val="00F60EBF"/>
    <w:rsid w:val="00F62AE3"/>
    <w:rsid w:val="00F63BE5"/>
    <w:rsid w:val="00F647D5"/>
    <w:rsid w:val="00F66FE0"/>
    <w:rsid w:val="00F7057B"/>
    <w:rsid w:val="00F70826"/>
    <w:rsid w:val="00F72F95"/>
    <w:rsid w:val="00F75A99"/>
    <w:rsid w:val="00F814AB"/>
    <w:rsid w:val="00F82BC2"/>
    <w:rsid w:val="00F836E6"/>
    <w:rsid w:val="00F83761"/>
    <w:rsid w:val="00F843D7"/>
    <w:rsid w:val="00F844CF"/>
    <w:rsid w:val="00F850AF"/>
    <w:rsid w:val="00F85794"/>
    <w:rsid w:val="00F8634B"/>
    <w:rsid w:val="00F8675A"/>
    <w:rsid w:val="00F86F36"/>
    <w:rsid w:val="00F876CD"/>
    <w:rsid w:val="00F903A6"/>
    <w:rsid w:val="00F91BEC"/>
    <w:rsid w:val="00F91C8B"/>
    <w:rsid w:val="00F93271"/>
    <w:rsid w:val="00F94DDB"/>
    <w:rsid w:val="00F973B8"/>
    <w:rsid w:val="00F97A1D"/>
    <w:rsid w:val="00FA1396"/>
    <w:rsid w:val="00FA148C"/>
    <w:rsid w:val="00FA1EE0"/>
    <w:rsid w:val="00FA2387"/>
    <w:rsid w:val="00FA6C08"/>
    <w:rsid w:val="00FB1542"/>
    <w:rsid w:val="00FB3A34"/>
    <w:rsid w:val="00FB4332"/>
    <w:rsid w:val="00FB6A24"/>
    <w:rsid w:val="00FB7278"/>
    <w:rsid w:val="00FB7F87"/>
    <w:rsid w:val="00FC1858"/>
    <w:rsid w:val="00FC1B30"/>
    <w:rsid w:val="00FC2AF5"/>
    <w:rsid w:val="00FC3171"/>
    <w:rsid w:val="00FC40BA"/>
    <w:rsid w:val="00FC448E"/>
    <w:rsid w:val="00FC4CD3"/>
    <w:rsid w:val="00FC4F94"/>
    <w:rsid w:val="00FC556A"/>
    <w:rsid w:val="00FC6538"/>
    <w:rsid w:val="00FD0D78"/>
    <w:rsid w:val="00FD1018"/>
    <w:rsid w:val="00FD248C"/>
    <w:rsid w:val="00FD3BE0"/>
    <w:rsid w:val="00FD4049"/>
    <w:rsid w:val="00FD4D5E"/>
    <w:rsid w:val="00FD4DF7"/>
    <w:rsid w:val="00FE0EFA"/>
    <w:rsid w:val="00FE1A97"/>
    <w:rsid w:val="00FE2900"/>
    <w:rsid w:val="00FE3190"/>
    <w:rsid w:val="00FE3768"/>
    <w:rsid w:val="00FE53BD"/>
    <w:rsid w:val="00FE6D8B"/>
    <w:rsid w:val="00FF0745"/>
    <w:rsid w:val="00FF0E2A"/>
    <w:rsid w:val="00FF311E"/>
    <w:rsid w:val="00FF339B"/>
    <w:rsid w:val="00FF4555"/>
    <w:rsid w:val="00FF488D"/>
    <w:rsid w:val="00FF5337"/>
    <w:rsid w:val="00FF745F"/>
    <w:rsid w:val="00FF79D1"/>
    <w:rsid w:val="119E2E9F"/>
    <w:rsid w:val="491A05AB"/>
    <w:rsid w:val="55844E13"/>
    <w:rsid w:val="623D4459"/>
    <w:rsid w:val="6AE43663"/>
    <w:rsid w:val="702209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Cambria" w:hAnsi="Cambria"/>
      <w:b/>
      <w:bCs/>
      <w:kern w:val="0"/>
      <w:sz w:val="32"/>
      <w:szCs w:val="32"/>
    </w:rPr>
  </w:style>
  <w:style w:type="paragraph" w:styleId="4">
    <w:name w:val="heading 3"/>
    <w:basedOn w:val="1"/>
    <w:next w:val="1"/>
    <w:link w:val="29"/>
    <w:semiHidden/>
    <w:unhideWhenUsed/>
    <w:qFormat/>
    <w:uiPriority w:val="9"/>
    <w:pPr>
      <w:keepNext/>
      <w:keepLines/>
      <w:spacing w:before="260" w:after="260" w:line="416" w:lineRule="auto"/>
      <w:outlineLvl w:val="2"/>
    </w:pPr>
    <w:rPr>
      <w:b/>
      <w:bCs/>
      <w:kern w:val="0"/>
      <w:sz w:val="32"/>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2520" w:leftChars="1200"/>
    </w:pPr>
  </w:style>
  <w:style w:type="paragraph" w:styleId="6">
    <w:name w:val="Document Map"/>
    <w:basedOn w:val="1"/>
    <w:link w:val="26"/>
    <w:semiHidden/>
    <w:unhideWhenUsed/>
    <w:qFormat/>
    <w:uiPriority w:val="99"/>
    <w:rPr>
      <w:rFonts w:ascii="宋体"/>
      <w:kern w:val="0"/>
      <w:sz w:val="18"/>
      <w:szCs w:val="18"/>
    </w:rPr>
  </w:style>
  <w:style w:type="paragraph" w:styleId="7">
    <w:name w:val="Body Text"/>
    <w:basedOn w:val="1"/>
    <w:next w:val="1"/>
    <w:link w:val="30"/>
    <w:qFormat/>
    <w:uiPriority w:val="0"/>
    <w:pPr>
      <w:jc w:val="left"/>
    </w:pPr>
    <w:rPr>
      <w:rFonts w:ascii="Times New Roman" w:hAnsi="Times New Roman" w:eastAsia="Times New Roman"/>
      <w:color w:val="000000"/>
      <w:kern w:val="0"/>
      <w:sz w:val="24"/>
      <w:szCs w:val="24"/>
      <w:lang w:eastAsia="en-US" w:bidi="en-US"/>
    </w:rPr>
  </w:style>
  <w:style w:type="paragraph" w:styleId="8">
    <w:name w:val="toc 5"/>
    <w:basedOn w:val="1"/>
    <w:next w:val="1"/>
    <w:unhideWhenUsed/>
    <w:qFormat/>
    <w:uiPriority w:val="39"/>
    <w:pPr>
      <w:ind w:left="1680" w:leftChars="800"/>
    </w:pPr>
  </w:style>
  <w:style w:type="paragraph" w:styleId="9">
    <w:name w:val="toc 3"/>
    <w:basedOn w:val="1"/>
    <w:next w:val="1"/>
    <w:unhideWhenUsed/>
    <w:qFormat/>
    <w:uiPriority w:val="39"/>
    <w:pPr>
      <w:widowControl/>
      <w:spacing w:after="100" w:line="276" w:lineRule="auto"/>
      <w:ind w:left="440"/>
      <w:jc w:val="left"/>
    </w:pPr>
    <w:rPr>
      <w:kern w:val="0"/>
      <w:sz w:val="22"/>
    </w:rPr>
  </w:style>
  <w:style w:type="paragraph" w:styleId="10">
    <w:name w:val="toc 8"/>
    <w:basedOn w:val="1"/>
    <w:next w:val="1"/>
    <w:unhideWhenUsed/>
    <w:qFormat/>
    <w:uiPriority w:val="39"/>
    <w:pPr>
      <w:ind w:left="2940" w:leftChars="1400"/>
    </w:pPr>
  </w:style>
  <w:style w:type="paragraph" w:styleId="11">
    <w:name w:val="Date"/>
    <w:basedOn w:val="1"/>
    <w:next w:val="1"/>
    <w:link w:val="38"/>
    <w:semiHidden/>
    <w:unhideWhenUsed/>
    <w:qFormat/>
    <w:uiPriority w:val="99"/>
    <w:pPr>
      <w:ind w:left="100" w:leftChars="2500"/>
    </w:pPr>
  </w:style>
  <w:style w:type="paragraph" w:styleId="12">
    <w:name w:val="Balloon Text"/>
    <w:basedOn w:val="1"/>
    <w:link w:val="32"/>
    <w:semiHidden/>
    <w:unhideWhenUsed/>
    <w:qFormat/>
    <w:uiPriority w:val="99"/>
    <w:rPr>
      <w:kern w:val="0"/>
      <w:sz w:val="18"/>
      <w:szCs w:val="18"/>
    </w:rPr>
  </w:style>
  <w:style w:type="paragraph" w:styleId="13">
    <w:name w:val="footer"/>
    <w:basedOn w:val="1"/>
    <w:link w:val="25"/>
    <w:unhideWhenUsed/>
    <w:qFormat/>
    <w:uiPriority w:val="99"/>
    <w:pPr>
      <w:tabs>
        <w:tab w:val="center" w:pos="4153"/>
        <w:tab w:val="right" w:pos="8306"/>
      </w:tabs>
      <w:snapToGrid w:val="0"/>
      <w:jc w:val="left"/>
    </w:pPr>
    <w:rPr>
      <w:kern w:val="0"/>
      <w:sz w:val="18"/>
      <w:szCs w:val="18"/>
    </w:rPr>
  </w:style>
  <w:style w:type="paragraph" w:styleId="14">
    <w:name w:val="header"/>
    <w:basedOn w:val="1"/>
    <w:link w:val="24"/>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5">
    <w:name w:val="toc 1"/>
    <w:basedOn w:val="1"/>
    <w:next w:val="1"/>
    <w:unhideWhenUsed/>
    <w:qFormat/>
    <w:uiPriority w:val="39"/>
    <w:pPr>
      <w:widowControl/>
      <w:tabs>
        <w:tab w:val="right" w:leader="dot" w:pos="8296"/>
      </w:tabs>
      <w:spacing w:after="100" w:line="276" w:lineRule="auto"/>
      <w:jc w:val="center"/>
    </w:pPr>
    <w:rPr>
      <w:kern w:val="0"/>
      <w:sz w:val="22"/>
    </w:rPr>
  </w:style>
  <w:style w:type="paragraph" w:styleId="16">
    <w:name w:val="toc 4"/>
    <w:basedOn w:val="1"/>
    <w:next w:val="1"/>
    <w:unhideWhenUsed/>
    <w:qFormat/>
    <w:uiPriority w:val="39"/>
    <w:pPr>
      <w:ind w:left="1260" w:leftChars="600"/>
    </w:pPr>
  </w:style>
  <w:style w:type="paragraph" w:styleId="17">
    <w:name w:val="toc 6"/>
    <w:basedOn w:val="1"/>
    <w:next w:val="1"/>
    <w:unhideWhenUsed/>
    <w:qFormat/>
    <w:uiPriority w:val="39"/>
    <w:pPr>
      <w:ind w:left="2100" w:leftChars="1000"/>
    </w:pPr>
  </w:style>
  <w:style w:type="paragraph" w:styleId="18">
    <w:name w:val="toc 2"/>
    <w:basedOn w:val="1"/>
    <w:next w:val="1"/>
    <w:unhideWhenUsed/>
    <w:qFormat/>
    <w:uiPriority w:val="39"/>
    <w:pPr>
      <w:widowControl/>
      <w:spacing w:after="100" w:line="276" w:lineRule="auto"/>
      <w:ind w:left="220"/>
      <w:jc w:val="left"/>
    </w:pPr>
    <w:rPr>
      <w:kern w:val="0"/>
      <w:sz w:val="22"/>
    </w:rPr>
  </w:style>
  <w:style w:type="paragraph" w:styleId="19">
    <w:name w:val="toc 9"/>
    <w:basedOn w:val="1"/>
    <w:next w:val="1"/>
    <w:unhideWhenUsed/>
    <w:qFormat/>
    <w:uiPriority w:val="39"/>
    <w:pPr>
      <w:ind w:left="3360" w:leftChars="1600"/>
    </w:p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Hyperlink"/>
    <w:unhideWhenUsed/>
    <w:qFormat/>
    <w:uiPriority w:val="99"/>
    <w:rPr>
      <w:color w:val="0000FF"/>
      <w:u w:val="single"/>
    </w:rPr>
  </w:style>
  <w:style w:type="character" w:customStyle="1" w:styleId="24">
    <w:name w:val="页眉 字符"/>
    <w:link w:val="14"/>
    <w:qFormat/>
    <w:uiPriority w:val="99"/>
    <w:rPr>
      <w:sz w:val="18"/>
      <w:szCs w:val="18"/>
    </w:rPr>
  </w:style>
  <w:style w:type="character" w:customStyle="1" w:styleId="25">
    <w:name w:val="页脚 字符"/>
    <w:link w:val="13"/>
    <w:qFormat/>
    <w:uiPriority w:val="99"/>
    <w:rPr>
      <w:sz w:val="18"/>
      <w:szCs w:val="18"/>
    </w:rPr>
  </w:style>
  <w:style w:type="character" w:customStyle="1" w:styleId="26">
    <w:name w:val="文档结构图 字符"/>
    <w:link w:val="6"/>
    <w:semiHidden/>
    <w:qFormat/>
    <w:uiPriority w:val="99"/>
    <w:rPr>
      <w:rFonts w:ascii="宋体" w:eastAsia="宋体"/>
      <w:sz w:val="18"/>
      <w:szCs w:val="18"/>
    </w:rPr>
  </w:style>
  <w:style w:type="character" w:customStyle="1" w:styleId="27">
    <w:name w:val="标题 1 字符"/>
    <w:link w:val="2"/>
    <w:qFormat/>
    <w:uiPriority w:val="9"/>
    <w:rPr>
      <w:b/>
      <w:bCs/>
      <w:kern w:val="44"/>
      <w:sz w:val="44"/>
      <w:szCs w:val="44"/>
    </w:rPr>
  </w:style>
  <w:style w:type="character" w:customStyle="1" w:styleId="28">
    <w:name w:val="标题 2 字符"/>
    <w:link w:val="3"/>
    <w:qFormat/>
    <w:uiPriority w:val="9"/>
    <w:rPr>
      <w:rFonts w:ascii="Cambria" w:hAnsi="Cambria" w:eastAsia="宋体" w:cs="Times New Roman"/>
      <w:b/>
      <w:bCs/>
      <w:sz w:val="32"/>
      <w:szCs w:val="32"/>
    </w:rPr>
  </w:style>
  <w:style w:type="character" w:customStyle="1" w:styleId="29">
    <w:name w:val="标题 3 字符"/>
    <w:link w:val="4"/>
    <w:semiHidden/>
    <w:qFormat/>
    <w:uiPriority w:val="9"/>
    <w:rPr>
      <w:b/>
      <w:bCs/>
      <w:sz w:val="32"/>
      <w:szCs w:val="32"/>
    </w:rPr>
  </w:style>
  <w:style w:type="character" w:customStyle="1" w:styleId="30">
    <w:name w:val="正文文本 字符"/>
    <w:link w:val="7"/>
    <w:qFormat/>
    <w:uiPriority w:val="0"/>
    <w:rPr>
      <w:rFonts w:ascii="Times New Roman" w:hAnsi="Times New Roman" w:eastAsia="Times New Roman" w:cs="Times New Roman"/>
      <w:color w:val="000000"/>
      <w:kern w:val="0"/>
      <w:sz w:val="24"/>
      <w:szCs w:val="24"/>
      <w:lang w:eastAsia="en-US" w:bidi="en-US"/>
    </w:rPr>
  </w:style>
  <w:style w:type="paragraph" w:customStyle="1" w:styleId="31">
    <w:name w:val="TOC Heading"/>
    <w:basedOn w:val="2"/>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32">
    <w:name w:val="批注框文本 字符"/>
    <w:link w:val="12"/>
    <w:semiHidden/>
    <w:qFormat/>
    <w:uiPriority w:val="99"/>
    <w:rPr>
      <w:sz w:val="18"/>
      <w:szCs w:val="18"/>
    </w:rPr>
  </w:style>
  <w:style w:type="table" w:customStyle="1" w:styleId="33">
    <w:name w:val="网格型1"/>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
    <w:name w:val="网格型2"/>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
    <w:name w:val="网格型3"/>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
    <w:name w:val="网格型4"/>
    <w:basedOn w:val="20"/>
    <w:qFormat/>
    <w:uiPriority w:val="0"/>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7">
    <w:name w:val="NormalCharacter"/>
    <w:qFormat/>
    <w:uiPriority w:val="0"/>
  </w:style>
  <w:style w:type="character" w:customStyle="1" w:styleId="38">
    <w:name w:val="日期 字符"/>
    <w:basedOn w:val="22"/>
    <w:link w:val="11"/>
    <w:semiHidden/>
    <w:qFormat/>
    <w:uiPriority w:val="99"/>
    <w:rPr>
      <w:kern w:val="2"/>
      <w:sz w:val="21"/>
      <w:szCs w:val="22"/>
    </w:rPr>
  </w:style>
  <w:style w:type="character" w:customStyle="1" w:styleId="39">
    <w:name w:val="Unresolved Mention"/>
    <w:basedOn w:val="2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1AD17-946A-4449-8E4A-E0047C00BBA0}">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134</Pages>
  <Words>68459</Words>
  <Characters>69695</Characters>
  <Lines>544</Lines>
  <Paragraphs>153</Paragraphs>
  <TotalTime>0</TotalTime>
  <ScaleCrop>false</ScaleCrop>
  <LinksUpToDate>false</LinksUpToDate>
  <CharactersWithSpaces>70007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2021-04-12T09:43:00Z</dcterms:created>
  <dc:creator>微软用户</dc:creator>
  <cp:lastModifiedBy>Charming  f</cp:lastModifiedBy>
  <cp:lastPrinted>2021-05-06T03:22:00Z</cp:lastPrinted>
  <dcterms:modified xsi:type="dcterms:W3CDTF">2022-07-25T06:38:17Z</dcterms:modified>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EFE9CEDB1DAD48A0873070EC7BA3AB27</vt:lpwstr>
  </property>
</Properties>
</file>