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拟批复建设项目采取的污染防治措施（环境影响报告表内容</w:t>
      </w:r>
      <w:bookmarkStart w:id="0" w:name="_GoBack"/>
      <w:bookmarkEnd w:id="0"/>
      <w:r>
        <w:rPr>
          <w:rFonts w:hint="eastAsia"/>
          <w:lang w:val="en-US" w:eastAsia="zh-CN"/>
        </w:rPr>
        <w:t>）</w:t>
      </w:r>
    </w:p>
    <w:tbl>
      <w:tblPr>
        <w:tblStyle w:val="14"/>
        <w:tblW w:w="13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454"/>
        <w:gridCol w:w="567"/>
        <w:gridCol w:w="567"/>
        <w:gridCol w:w="567"/>
        <w:gridCol w:w="567"/>
        <w:gridCol w:w="926"/>
        <w:gridCol w:w="10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jc w:val="center"/>
              <w:rPr>
                <w:rFonts w:ascii="黑体" w:hAnsi="黑体" w:eastAsia="黑体"/>
                <w:b/>
                <w:szCs w:val="21"/>
              </w:rPr>
            </w:pPr>
            <w:r>
              <w:rPr>
                <w:rFonts w:hint="eastAsia" w:ascii="黑体" w:hAnsi="黑体" w:eastAsia="黑体"/>
                <w:b/>
                <w:szCs w:val="21"/>
              </w:rPr>
              <w:t>序号</w:t>
            </w:r>
          </w:p>
        </w:tc>
        <w:tc>
          <w:tcPr>
            <w:tcW w:w="567" w:type="dxa"/>
            <w:vAlign w:val="center"/>
          </w:tcPr>
          <w:p>
            <w:pPr>
              <w:jc w:val="center"/>
              <w:rPr>
                <w:szCs w:val="21"/>
              </w:rPr>
            </w:pPr>
            <w:r>
              <w:rPr>
                <w:rFonts w:hint="eastAsia" w:ascii="黑体" w:hAnsi="黑体" w:eastAsia="黑体"/>
                <w:b/>
                <w:szCs w:val="21"/>
              </w:rPr>
              <w:t>项目名称</w:t>
            </w:r>
          </w:p>
        </w:tc>
        <w:tc>
          <w:tcPr>
            <w:tcW w:w="567" w:type="dxa"/>
            <w:vAlign w:val="center"/>
          </w:tcPr>
          <w:p>
            <w:pPr>
              <w:jc w:val="center"/>
              <w:rPr>
                <w:rFonts w:ascii="黑体" w:hAnsi="黑体" w:eastAsia="黑体"/>
                <w:b/>
                <w:szCs w:val="21"/>
              </w:rPr>
            </w:pPr>
            <w:r>
              <w:rPr>
                <w:rFonts w:hint="eastAsia" w:ascii="黑体" w:hAnsi="黑体" w:eastAsia="黑体"/>
                <w:b/>
                <w:szCs w:val="21"/>
              </w:rPr>
              <w:t>建设地点</w:t>
            </w:r>
          </w:p>
        </w:tc>
        <w:tc>
          <w:tcPr>
            <w:tcW w:w="567" w:type="dxa"/>
            <w:vAlign w:val="center"/>
          </w:tcPr>
          <w:p>
            <w:pPr>
              <w:jc w:val="center"/>
              <w:rPr>
                <w:rFonts w:ascii="黑体" w:hAnsi="黑体" w:eastAsia="黑体"/>
                <w:b/>
                <w:szCs w:val="21"/>
              </w:rPr>
            </w:pPr>
            <w:r>
              <w:rPr>
                <w:rFonts w:hint="eastAsia" w:ascii="黑体" w:hAnsi="黑体" w:eastAsia="黑体"/>
                <w:b/>
                <w:szCs w:val="21"/>
              </w:rPr>
              <w:t>建设单位</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b/>
                <w:szCs w:val="21"/>
              </w:rPr>
            </w:pPr>
            <w:r>
              <w:rPr>
                <w:rFonts w:hint="eastAsia" w:ascii="黑体" w:hAnsi="黑体" w:eastAsia="黑体"/>
                <w:b/>
                <w:szCs w:val="21"/>
              </w:rPr>
              <w:t>环境影响评价机构</w:t>
            </w:r>
          </w:p>
        </w:tc>
        <w:tc>
          <w:tcPr>
            <w:tcW w:w="926" w:type="dxa"/>
            <w:vAlign w:val="center"/>
          </w:tcPr>
          <w:p>
            <w:pPr>
              <w:jc w:val="center"/>
              <w:rPr>
                <w:rFonts w:ascii="黑体" w:hAnsi="黑体" w:eastAsia="黑体"/>
                <w:b/>
                <w:szCs w:val="21"/>
              </w:rPr>
            </w:pPr>
            <w:r>
              <w:rPr>
                <w:rFonts w:hint="eastAsia" w:ascii="黑体" w:hAnsi="黑体" w:eastAsia="黑体"/>
                <w:b/>
                <w:szCs w:val="21"/>
              </w:rPr>
              <w:t>建设项目概况</w:t>
            </w:r>
          </w:p>
        </w:tc>
        <w:tc>
          <w:tcPr>
            <w:tcW w:w="10226" w:type="dxa"/>
            <w:vAlign w:val="center"/>
          </w:tcPr>
          <w:p>
            <w:pPr>
              <w:jc w:val="center"/>
              <w:rPr>
                <w:rFonts w:ascii="黑体" w:hAnsi="黑体" w:eastAsia="黑体"/>
                <w:b/>
                <w:szCs w:val="21"/>
              </w:rPr>
            </w:pPr>
            <w:r>
              <w:rPr>
                <w:rFonts w:hint="eastAsia" w:ascii="黑体" w:hAnsi="黑体" w:eastAsia="黑体"/>
                <w:b/>
                <w:szCs w:val="21"/>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4" w:type="dxa"/>
            <w:vAlign w:val="center"/>
          </w:tcPr>
          <w:p>
            <w:pPr>
              <w:jc w:val="center"/>
              <w:rPr>
                <w:szCs w:val="21"/>
              </w:rPr>
            </w:pPr>
            <w:r>
              <w:rPr>
                <w:rFonts w:hint="eastAsia"/>
                <w:szCs w:val="21"/>
              </w:rPr>
              <w:t>1</w:t>
            </w:r>
          </w:p>
        </w:tc>
        <w:tc>
          <w:tcPr>
            <w:tcW w:w="567" w:type="dxa"/>
            <w:vAlign w:val="center"/>
          </w:tcPr>
          <w:p>
            <w:pPr>
              <w:widowControl/>
              <w:jc w:val="left"/>
              <w:rPr>
                <w:rFonts w:hint="eastAsia" w:eastAsia="宋体"/>
                <w:szCs w:val="21"/>
                <w:lang w:eastAsia="zh-CN"/>
              </w:rPr>
            </w:pPr>
            <w:r>
              <w:rPr>
                <w:rFonts w:hint="eastAsia"/>
                <w:szCs w:val="21"/>
                <w:lang w:eastAsia="zh-CN"/>
              </w:rPr>
              <w:t>河南正强制罐有限公司建设年产6万套制冷罐、冷冻式干燥机及储气罐生产线项目</w:t>
            </w:r>
          </w:p>
        </w:tc>
        <w:tc>
          <w:tcPr>
            <w:tcW w:w="567" w:type="dxa"/>
            <w:vAlign w:val="center"/>
          </w:tcPr>
          <w:p>
            <w:pPr>
              <w:widowControl/>
              <w:jc w:val="left"/>
              <w:rPr>
                <w:sz w:val="21"/>
                <w:szCs w:val="21"/>
              </w:rPr>
            </w:pPr>
            <w:r>
              <w:rPr>
                <w:rFonts w:ascii="Times New Roman" w:hAnsi="宋体" w:eastAsia="宋体" w:cs="Times New Roman"/>
                <w:color w:val="auto"/>
                <w:sz w:val="21"/>
                <w:szCs w:val="21"/>
              </w:rPr>
              <w:t>河南省商丘市民权县</w:t>
            </w:r>
            <w:r>
              <w:rPr>
                <w:rFonts w:hint="eastAsia" w:ascii="Times New Roman" w:hAnsi="宋体" w:eastAsia="宋体" w:cs="Times New Roman"/>
                <w:color w:val="auto"/>
                <w:sz w:val="21"/>
                <w:szCs w:val="21"/>
                <w:lang w:val="en-US" w:eastAsia="zh-CN"/>
              </w:rPr>
              <w:t>建业路与滨河路交叉口向西50米路北</w:t>
            </w:r>
          </w:p>
        </w:tc>
        <w:tc>
          <w:tcPr>
            <w:tcW w:w="567" w:type="dxa"/>
            <w:vAlign w:val="center"/>
          </w:tcPr>
          <w:p>
            <w:pPr>
              <w:widowControl/>
              <w:jc w:val="left"/>
              <w:rPr>
                <w:sz w:val="21"/>
                <w:szCs w:val="21"/>
              </w:rPr>
            </w:pPr>
            <w:r>
              <w:rPr>
                <w:rFonts w:hint="eastAsia"/>
                <w:sz w:val="21"/>
                <w:szCs w:val="21"/>
                <w:lang w:eastAsia="zh-CN"/>
              </w:rPr>
              <w:t>河南正强制罐有限公司</w:t>
            </w:r>
          </w:p>
        </w:tc>
        <w:tc>
          <w:tcPr>
            <w:tcW w:w="567" w:type="dxa"/>
            <w:vAlign w:val="center"/>
          </w:tcPr>
          <w:p>
            <w:pPr>
              <w:widowControl/>
              <w:jc w:val="left"/>
              <w:rPr>
                <w:sz w:val="21"/>
                <w:szCs w:val="21"/>
              </w:rPr>
            </w:pPr>
            <w:r>
              <w:rPr>
                <w:rFonts w:hint="eastAsia"/>
                <w:sz w:val="21"/>
                <w:szCs w:val="21"/>
              </w:rPr>
              <w:t>河南省波光环境评估服务有限公司</w:t>
            </w:r>
          </w:p>
        </w:tc>
        <w:tc>
          <w:tcPr>
            <w:tcW w:w="926" w:type="dxa"/>
            <w:vAlign w:val="center"/>
          </w:tcPr>
          <w:p>
            <w:pPr>
              <w:widowControl/>
              <w:rPr>
                <w:sz w:val="21"/>
                <w:szCs w:val="21"/>
              </w:rPr>
            </w:pPr>
            <w:r>
              <w:rPr>
                <w:rFonts w:hint="eastAsia"/>
                <w:sz w:val="21"/>
                <w:szCs w:val="21"/>
              </w:rPr>
              <w:t>根据《产业结构调整指导目录（</w:t>
            </w:r>
            <w:r>
              <w:rPr>
                <w:sz w:val="21"/>
                <w:szCs w:val="21"/>
              </w:rPr>
              <w:t>2019</w:t>
            </w:r>
            <w:r>
              <w:rPr>
                <w:rFonts w:hint="eastAsia"/>
                <w:sz w:val="21"/>
                <w:szCs w:val="21"/>
              </w:rPr>
              <w:t>年本）》，该项目不属于鼓励类、限制类和淘汰类项目，因此该项目属于国家允许类项目</w:t>
            </w:r>
            <w:r>
              <w:rPr>
                <w:sz w:val="21"/>
                <w:szCs w:val="21"/>
              </w:rPr>
              <w:t>，</w:t>
            </w:r>
            <w:r>
              <w:rPr>
                <w:rFonts w:hint="eastAsia"/>
                <w:sz w:val="21"/>
                <w:szCs w:val="21"/>
              </w:rPr>
              <w:t>符</w:t>
            </w:r>
            <w:r>
              <w:rPr>
                <w:rFonts w:hint="eastAsia" w:ascii="Times New Roman" w:hAnsi="Times New Roman" w:eastAsia="宋体" w:cs="Times New Roman"/>
                <w:sz w:val="21"/>
                <w:szCs w:val="21"/>
              </w:rPr>
              <w:t>合国家产业政策和地方发展规划。项目</w:t>
            </w:r>
            <w:r>
              <w:rPr>
                <w:rFonts w:hint="eastAsia" w:ascii="Times New Roman" w:hAnsi="Times New Roman" w:eastAsia="宋体" w:cs="Times New Roman"/>
                <w:sz w:val="21"/>
                <w:szCs w:val="21"/>
                <w:lang w:val="en-US" w:eastAsia="zh-CN"/>
              </w:rPr>
              <w:t>建设生产车间、办公楼等，</w:t>
            </w:r>
            <w:r>
              <w:rPr>
                <w:bCs/>
                <w:kern w:val="0"/>
                <w:sz w:val="21"/>
                <w:szCs w:val="21"/>
              </w:rPr>
              <w:t>占地面积为</w:t>
            </w:r>
            <w:r>
              <w:rPr>
                <w:rFonts w:hint="eastAsia" w:ascii="Times New Roman" w:hAnsi="Times New Roman"/>
                <w:color w:val="auto"/>
                <w:sz w:val="21"/>
                <w:szCs w:val="21"/>
                <w:lang w:val="en-US" w:eastAsia="zh-CN"/>
              </w:rPr>
              <w:t>48606.83</w:t>
            </w:r>
            <w:r>
              <w:rPr>
                <w:bCs/>
                <w:kern w:val="0"/>
                <w:sz w:val="21"/>
                <w:szCs w:val="21"/>
              </w:rPr>
              <w:t>m</w:t>
            </w:r>
            <w:r>
              <w:rPr>
                <w:bCs/>
                <w:kern w:val="0"/>
                <w:sz w:val="21"/>
                <w:szCs w:val="21"/>
                <w:vertAlign w:val="superscript"/>
              </w:rPr>
              <w:t>2</w:t>
            </w:r>
            <w:r>
              <w:rPr>
                <w:sz w:val="21"/>
                <w:szCs w:val="21"/>
              </w:rPr>
              <w:t>。总投资</w:t>
            </w:r>
            <w:r>
              <w:rPr>
                <w:rFonts w:hint="eastAsia"/>
                <w:sz w:val="21"/>
                <w:szCs w:val="21"/>
                <w:lang w:val="en-US" w:eastAsia="zh-CN"/>
              </w:rPr>
              <w:t>2</w:t>
            </w:r>
            <w:r>
              <w:rPr>
                <w:sz w:val="21"/>
                <w:szCs w:val="21"/>
              </w:rPr>
              <w:t>5000万元，项目环保投资</w:t>
            </w:r>
            <w:r>
              <w:rPr>
                <w:rFonts w:hint="eastAsia"/>
                <w:sz w:val="21"/>
                <w:szCs w:val="21"/>
                <w:lang w:val="en-US" w:eastAsia="zh-CN"/>
              </w:rPr>
              <w:t>98.7</w:t>
            </w:r>
            <w:r>
              <w:rPr>
                <w:sz w:val="21"/>
                <w:szCs w:val="21"/>
              </w:rPr>
              <w:t>万元，占总投资的</w:t>
            </w:r>
            <w:r>
              <w:rPr>
                <w:rFonts w:hint="eastAsia"/>
                <w:sz w:val="21"/>
                <w:szCs w:val="21"/>
                <w:lang w:val="en-US" w:eastAsia="zh-CN"/>
              </w:rPr>
              <w:t>0.4</w:t>
            </w:r>
            <w:r>
              <w:rPr>
                <w:sz w:val="21"/>
                <w:szCs w:val="21"/>
              </w:rPr>
              <w:t>%。</w:t>
            </w:r>
          </w:p>
        </w:tc>
        <w:tc>
          <w:tcPr>
            <w:tcW w:w="10226" w:type="dxa"/>
            <w:vAlign w:val="center"/>
          </w:tcPr>
          <w:p>
            <w:pPr>
              <w:rPr>
                <w:kern w:val="0"/>
                <w:szCs w:val="21"/>
              </w:rPr>
            </w:pPr>
            <w:r>
              <w:rPr>
                <w:rFonts w:hint="eastAsia"/>
                <w:color w:val="000000"/>
                <w:kern w:val="0"/>
                <w:szCs w:val="21"/>
              </w:rPr>
              <w:t>1、</w:t>
            </w:r>
            <w:r>
              <w:rPr>
                <w:color w:val="000000"/>
                <w:kern w:val="0"/>
                <w:szCs w:val="21"/>
              </w:rPr>
              <w:t>废水：</w:t>
            </w:r>
            <w:r>
              <w:rPr>
                <w:rFonts w:hint="eastAsia"/>
                <w:color w:val="000000"/>
                <w:kern w:val="0"/>
                <w:szCs w:val="21"/>
              </w:rPr>
              <w:t>生活污水经化粪池处理后排入市政污水管网，经市政管网排入民权县污水处理厂</w:t>
            </w:r>
            <w:r>
              <w:rPr>
                <w:rFonts w:hint="eastAsia" w:ascii="宋体" w:hAnsi="宋体" w:cs="宋体"/>
                <w:szCs w:val="21"/>
              </w:rPr>
              <w:t>。</w:t>
            </w:r>
          </w:p>
          <w:p>
            <w:pPr>
              <w:pageBreakBefore w:val="0"/>
              <w:widowControl/>
              <w:kinsoku/>
              <w:overflowPunct/>
              <w:topLinePunct w:val="0"/>
              <w:bidi w:val="0"/>
              <w:adjustRightInd/>
              <w:snapToGrid/>
              <w:jc w:val="cente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pPr>
            <w:r>
              <w:rPr>
                <w:rFonts w:hint="eastAsia"/>
                <w:szCs w:val="21"/>
              </w:rPr>
              <w:t>2、废气</w:t>
            </w:r>
            <w:r>
              <w:rPr>
                <w:rFonts w:hint="eastAsia"/>
                <w:color w:val="000000"/>
                <w:kern w:val="0"/>
                <w:szCs w:val="21"/>
              </w:rPr>
              <w:t>：①</w:t>
            </w:r>
            <w:r>
              <w:rPr>
                <w:rFonts w:hint="eastAsia" w:ascii="Times New Roman" w:hAnsi="Times New Roman" w:eastAsia="宋体" w:cs="Times New Roman"/>
                <w:snapToGrid/>
                <w:color w:val="auto"/>
                <w:spacing w:val="0"/>
                <w:w w:val="100"/>
                <w:kern w:val="0"/>
                <w:position w:val="0"/>
                <w:sz w:val="21"/>
                <w:szCs w:val="21"/>
                <w:lang w:val="en-US" w:eastAsia="zh-CN"/>
              </w:rPr>
              <w:t>3#厂房容器封头生产区域</w:t>
            </w:r>
            <w:r>
              <w:rPr>
                <w:rFonts w:hint="eastAsia" w:ascii="Times New Roman" w:hAnsi="Times New Roman" w:eastAsia="宋体" w:cs="Times New Roman"/>
                <w:snapToGrid/>
                <w:color w:val="auto"/>
                <w:spacing w:val="0"/>
                <w:w w:val="100"/>
                <w:kern w:val="0"/>
                <w:position w:val="0"/>
                <w:sz w:val="21"/>
                <w:szCs w:val="21"/>
                <w:lang w:eastAsia="zh-CN"/>
              </w:rPr>
              <w:t>切割粉尘、</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焊接烟尘、</w:t>
            </w:r>
            <w:r>
              <w:rPr>
                <w:rFonts w:hint="eastAsia" w:ascii="Times New Roman" w:hAnsi="Times New Roman" w:eastAsia="宋体" w:cs="Times New Roman"/>
                <w:snapToGrid/>
                <w:color w:val="auto"/>
                <w:spacing w:val="0"/>
                <w:w w:val="100"/>
                <w:kern w:val="0"/>
                <w:position w:val="0"/>
                <w:sz w:val="21"/>
                <w:szCs w:val="21"/>
                <w:lang w:eastAsia="zh-CN"/>
              </w:rPr>
              <w:t>抛光粉尘：</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在3#厂房器封头生产区域固定焊接工位，焊接工位进行二次密闭，在焊接工位上方设置集气设施；等离子切割机进行二次密闭，在等离子切割机切割平台侧边设置集气设施，采用侧吸风的方式收集废气，工作时处于负压状态；将抛光打磨工位进行二次密闭，在抛光打磨车间上方设置集气设施，工作时处于负压状态；上述废气收集后经</w:t>
            </w:r>
            <w:r>
              <w:rPr>
                <w:rFonts w:hint="default" w:ascii="Times New Roman" w:hAnsi="Times New Roman" w:eastAsia="宋体" w:cs="Times New Roman"/>
                <w:b w:val="0"/>
                <w:bCs w:val="0"/>
                <w:i w:val="0"/>
                <w:iCs w:val="0"/>
                <w:snapToGrid/>
                <w:color w:val="auto"/>
                <w:spacing w:val="0"/>
                <w:w w:val="100"/>
                <w:kern w:val="0"/>
                <w:position w:val="0"/>
                <w:sz w:val="21"/>
                <w:szCs w:val="21"/>
                <w:u w:val="none"/>
                <w:lang w:val="en-US" w:eastAsia="zh-CN"/>
              </w:rPr>
              <w:t>1</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台风机引至</w:t>
            </w:r>
            <w:r>
              <w:rPr>
                <w:rFonts w:hint="default" w:ascii="Times New Roman" w:hAnsi="Times New Roman" w:eastAsia="宋体" w:cs="Times New Roman"/>
                <w:b w:val="0"/>
                <w:bCs w:val="0"/>
                <w:i w:val="0"/>
                <w:iCs w:val="0"/>
                <w:snapToGrid/>
                <w:color w:val="auto"/>
                <w:spacing w:val="0"/>
                <w:w w:val="100"/>
                <w:kern w:val="0"/>
                <w:position w:val="0"/>
                <w:sz w:val="21"/>
                <w:szCs w:val="21"/>
                <w:u w:val="none"/>
                <w:lang w:val="en-US" w:eastAsia="zh-CN"/>
              </w:rPr>
              <w:t>1</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套袋式除尘器集中处理，最后通过</w:t>
            </w:r>
            <w:r>
              <w:rPr>
                <w:rFonts w:hint="default" w:ascii="Times New Roman" w:hAnsi="Times New Roman" w:eastAsia="宋体" w:cs="Times New Roman"/>
                <w:b w:val="0"/>
                <w:bCs w:val="0"/>
                <w:i w:val="0"/>
                <w:iCs w:val="0"/>
                <w:snapToGrid/>
                <w:color w:val="auto"/>
                <w:spacing w:val="0"/>
                <w:w w:val="100"/>
                <w:kern w:val="0"/>
                <w:position w:val="0"/>
                <w:sz w:val="21"/>
                <w:szCs w:val="21"/>
                <w:u w:val="none"/>
                <w:lang w:val="en-US" w:eastAsia="zh-CN"/>
              </w:rPr>
              <w:t>1</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根</w:t>
            </w:r>
            <w:r>
              <w:rPr>
                <w:rFonts w:hint="default" w:ascii="Times New Roman" w:hAnsi="Times New Roman" w:eastAsia="宋体" w:cs="Times New Roman"/>
                <w:b w:val="0"/>
                <w:bCs w:val="0"/>
                <w:i w:val="0"/>
                <w:iCs w:val="0"/>
                <w:snapToGrid/>
                <w:color w:val="auto"/>
                <w:spacing w:val="0"/>
                <w:w w:val="100"/>
                <w:kern w:val="0"/>
                <w:position w:val="0"/>
                <w:sz w:val="21"/>
                <w:szCs w:val="21"/>
                <w:u w:val="none"/>
                <w:lang w:val="en-US" w:eastAsia="zh-CN"/>
              </w:rPr>
              <w:t>15m</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高排气筒排放</w:t>
            </w:r>
            <w:r>
              <w:rPr>
                <w:rFonts w:hint="eastAsia"/>
                <w:color w:val="000000"/>
                <w:kern w:val="0"/>
                <w:szCs w:val="21"/>
              </w:rPr>
              <w:t>②</w:t>
            </w:r>
            <w:r>
              <w:rPr>
                <w:rFonts w:hint="eastAsia" w:ascii="Times New Roman" w:hAnsi="Times New Roman" w:eastAsia="宋体" w:cs="Times New Roman"/>
                <w:snapToGrid/>
                <w:color w:val="auto"/>
                <w:spacing w:val="0"/>
                <w:w w:val="100"/>
                <w:kern w:val="0"/>
                <w:position w:val="0"/>
                <w:sz w:val="21"/>
                <w:szCs w:val="21"/>
                <w:lang w:val="en-US" w:eastAsia="zh-CN"/>
              </w:rPr>
              <w:t>3#厂房冷冻式干燥机生产区域</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抛丸</w:t>
            </w:r>
            <w:r>
              <w:rPr>
                <w:rFonts w:hint="eastAsia" w:ascii="Times New Roman" w:hAnsi="Times New Roman" w:eastAsia="宋体" w:cs="Times New Roman"/>
                <w:snapToGrid/>
                <w:color w:val="auto"/>
                <w:spacing w:val="0"/>
                <w:w w:val="100"/>
                <w:kern w:val="0"/>
                <w:position w:val="0"/>
                <w:sz w:val="21"/>
                <w:szCs w:val="21"/>
                <w:lang w:eastAsia="zh-CN"/>
              </w:rPr>
              <w:t>粉尘</w:t>
            </w:r>
            <w:r>
              <w:rPr>
                <w:rFonts w:hint="eastAsia" w:ascii="Times New Roman" w:hAnsi="Times New Roman" w:eastAsia="宋体" w:cs="Times New Roman"/>
                <w:snapToGrid/>
                <w:color w:val="auto"/>
                <w:spacing w:val="0"/>
                <w:w w:val="100"/>
                <w:kern w:val="0"/>
                <w:position w:val="0"/>
                <w:sz w:val="21"/>
                <w:szCs w:val="21"/>
                <w:lang w:val="en-US" w:eastAsia="zh-CN"/>
              </w:rPr>
              <w:t>：</w:t>
            </w:r>
            <w:r>
              <w:rPr>
                <w:rFonts w:hint="eastAsia" w:ascii="Times New Roman" w:hAnsi="Times New Roman" w:eastAsia="宋体" w:cs="Times New Roman"/>
                <w:snapToGrid/>
                <w:color w:val="auto"/>
                <w:spacing w:val="0"/>
                <w:w w:val="100"/>
                <w:kern w:val="0"/>
                <w:position w:val="0"/>
                <w:sz w:val="21"/>
                <w:szCs w:val="21"/>
                <w:lang w:val="en-US" w:eastAsia="zh-CN" w:bidi="ar-SA"/>
              </w:rPr>
              <w:t>抛丸机为封闭作业，产生的废气经出气孔连接风管引至一套袋式除尘器进行处理，处理后通过</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根</w:t>
            </w:r>
            <w:r>
              <w:rPr>
                <w:rFonts w:hint="default" w:ascii="Times New Roman" w:hAnsi="Times New Roman" w:eastAsia="宋体" w:cs="Times New Roman"/>
                <w:snapToGrid/>
                <w:color w:val="auto"/>
                <w:spacing w:val="0"/>
                <w:w w:val="100"/>
                <w:kern w:val="0"/>
                <w:position w:val="0"/>
                <w:sz w:val="21"/>
                <w:szCs w:val="21"/>
                <w:lang w:val="en-US" w:eastAsia="zh-CN" w:bidi="ar-SA"/>
              </w:rPr>
              <w:t>15m</w:t>
            </w:r>
            <w:r>
              <w:rPr>
                <w:rFonts w:hint="eastAsia" w:ascii="Times New Roman" w:hAnsi="Times New Roman" w:eastAsia="宋体" w:cs="Times New Roman"/>
                <w:snapToGrid/>
                <w:color w:val="auto"/>
                <w:spacing w:val="0"/>
                <w:w w:val="100"/>
                <w:kern w:val="0"/>
                <w:position w:val="0"/>
                <w:sz w:val="21"/>
                <w:szCs w:val="21"/>
                <w:lang w:val="en-US" w:eastAsia="zh-CN" w:bidi="ar-SA"/>
              </w:rPr>
              <w:t>高排气筒排放；</w:t>
            </w:r>
            <w:r>
              <w:rPr>
                <w:rFonts w:hint="eastAsia"/>
                <w:color w:val="000000"/>
                <w:kern w:val="0"/>
                <w:szCs w:val="21"/>
              </w:rPr>
              <w:t>③</w:t>
            </w:r>
            <w:r>
              <w:rPr>
                <w:rFonts w:hint="eastAsia" w:ascii="Times New Roman" w:hAnsi="Times New Roman" w:eastAsia="宋体" w:cs="Times New Roman"/>
                <w:snapToGrid/>
                <w:color w:val="auto"/>
                <w:spacing w:val="0"/>
                <w:w w:val="100"/>
                <w:kern w:val="0"/>
                <w:position w:val="0"/>
                <w:sz w:val="21"/>
                <w:szCs w:val="21"/>
                <w:lang w:val="en-US" w:eastAsia="zh-CN"/>
              </w:rPr>
              <w:t>2#厂房罐类产品生产区域</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焊接烟尘：</w:t>
            </w:r>
            <w:r>
              <w:rPr>
                <w:rFonts w:hint="eastAsia" w:ascii="Times New Roman" w:hAnsi="Times New Roman" w:eastAsia="宋体" w:cs="Times New Roman"/>
                <w:snapToGrid/>
                <w:color w:val="auto"/>
                <w:spacing w:val="0"/>
                <w:w w:val="100"/>
                <w:kern w:val="0"/>
                <w:position w:val="0"/>
                <w:sz w:val="21"/>
                <w:szCs w:val="21"/>
                <w:lang w:val="en-US" w:eastAsia="zh-CN" w:bidi="ar-SA"/>
              </w:rPr>
              <w:t>2#厂房罐类产品生产区域设置固定焊接工位，并且将焊接工位进行二次密闭，工作期间处于负压状态，焊接烟尘收集后经</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台风机引至</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套袋式除尘器集中处理，最后通过</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根</w:t>
            </w:r>
            <w:r>
              <w:rPr>
                <w:rFonts w:hint="default" w:ascii="Times New Roman" w:hAnsi="Times New Roman" w:eastAsia="宋体" w:cs="Times New Roman"/>
                <w:snapToGrid/>
                <w:color w:val="auto"/>
                <w:spacing w:val="0"/>
                <w:w w:val="100"/>
                <w:kern w:val="0"/>
                <w:position w:val="0"/>
                <w:sz w:val="21"/>
                <w:szCs w:val="21"/>
                <w:lang w:val="en-US" w:eastAsia="zh-CN" w:bidi="ar-SA"/>
              </w:rPr>
              <w:t>15m</w:t>
            </w:r>
            <w:r>
              <w:rPr>
                <w:rFonts w:hint="eastAsia" w:ascii="Times New Roman" w:hAnsi="Times New Roman" w:eastAsia="宋体" w:cs="Times New Roman"/>
                <w:snapToGrid/>
                <w:color w:val="auto"/>
                <w:spacing w:val="0"/>
                <w:w w:val="100"/>
                <w:kern w:val="0"/>
                <w:position w:val="0"/>
                <w:sz w:val="21"/>
                <w:szCs w:val="21"/>
                <w:lang w:val="en-US" w:eastAsia="zh-CN" w:bidi="ar-SA"/>
              </w:rPr>
              <w:t>高排气筒排放</w:t>
            </w:r>
            <w:r>
              <w:rPr>
                <w:rFonts w:hint="eastAsia"/>
                <w:szCs w:val="21"/>
              </w:rPr>
              <w:t>④</w:t>
            </w:r>
            <w:r>
              <w:rPr>
                <w:rFonts w:hint="eastAsia" w:ascii="Times New Roman" w:hAnsi="Times New Roman" w:eastAsia="宋体" w:cs="Times New Roman"/>
                <w:snapToGrid/>
                <w:color w:val="auto"/>
                <w:spacing w:val="0"/>
                <w:w w:val="100"/>
                <w:kern w:val="0"/>
                <w:position w:val="0"/>
                <w:sz w:val="21"/>
                <w:szCs w:val="21"/>
                <w:lang w:val="en-US" w:eastAsia="zh-CN"/>
              </w:rPr>
              <w:t>2#厂房罐类产品生产区域抛丸工序：</w:t>
            </w:r>
            <w:r>
              <w:rPr>
                <w:rFonts w:hint="eastAsia" w:ascii="Times New Roman" w:hAnsi="Times New Roman" w:eastAsia="宋体" w:cs="Times New Roman"/>
                <w:snapToGrid/>
                <w:color w:val="auto"/>
                <w:spacing w:val="0"/>
                <w:w w:val="100"/>
                <w:kern w:val="0"/>
                <w:position w:val="0"/>
                <w:sz w:val="21"/>
                <w:szCs w:val="21"/>
                <w:lang w:val="en-US" w:eastAsia="zh-CN" w:bidi="ar-SA"/>
              </w:rPr>
              <w:t>抛丸机为封闭作业，产生的废气经出气孔连接风管引至一套袋式除尘器进行处理，处理后通过</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根</w:t>
            </w:r>
            <w:r>
              <w:rPr>
                <w:rFonts w:hint="default" w:ascii="Times New Roman" w:hAnsi="Times New Roman" w:eastAsia="宋体" w:cs="Times New Roman"/>
                <w:snapToGrid/>
                <w:color w:val="auto"/>
                <w:spacing w:val="0"/>
                <w:w w:val="100"/>
                <w:kern w:val="0"/>
                <w:position w:val="0"/>
                <w:sz w:val="21"/>
                <w:szCs w:val="21"/>
                <w:lang w:val="en-US" w:eastAsia="zh-CN" w:bidi="ar-SA"/>
              </w:rPr>
              <w:t>15m</w:t>
            </w:r>
            <w:r>
              <w:rPr>
                <w:rFonts w:hint="eastAsia" w:ascii="Times New Roman" w:hAnsi="Times New Roman" w:eastAsia="宋体" w:cs="Times New Roman"/>
                <w:snapToGrid/>
                <w:color w:val="auto"/>
                <w:spacing w:val="0"/>
                <w:w w:val="100"/>
                <w:kern w:val="0"/>
                <w:position w:val="0"/>
                <w:sz w:val="21"/>
                <w:szCs w:val="21"/>
                <w:lang w:val="en-US" w:eastAsia="zh-CN" w:bidi="ar-SA"/>
              </w:rPr>
              <w:t>高排气筒排放⑤</w:t>
            </w:r>
            <w:r>
              <w:rPr>
                <w:rFonts w:hint="eastAsia" w:ascii="Times New Roman" w:hAnsi="Times New Roman" w:eastAsia="宋体" w:cs="Times New Roman"/>
                <w:snapToGrid/>
                <w:color w:val="auto"/>
                <w:spacing w:val="0"/>
                <w:w w:val="100"/>
                <w:kern w:val="0"/>
                <w:position w:val="0"/>
                <w:sz w:val="21"/>
                <w:szCs w:val="21"/>
                <w:lang w:val="en-US" w:eastAsia="zh-CN"/>
              </w:rPr>
              <w:t>2#厂房喷涂固化流水线</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喷塑废气：</w:t>
            </w:r>
            <w:r>
              <w:rPr>
                <w:rFonts w:hint="default" w:ascii="Times New Roman" w:hAnsi="Times New Roman" w:eastAsia="宋体" w:cs="Times New Roman"/>
                <w:snapToGrid/>
                <w:color w:val="auto"/>
                <w:spacing w:val="0"/>
                <w:w w:val="100"/>
                <w:kern w:val="0"/>
                <w:position w:val="0"/>
                <w:sz w:val="21"/>
                <w:szCs w:val="21"/>
                <w:lang w:val="en-US" w:eastAsia="zh-CN" w:bidi="ar-SA"/>
              </w:rPr>
              <w:t>喷粉</w:t>
            </w:r>
            <w:r>
              <w:rPr>
                <w:rFonts w:hint="eastAsia" w:ascii="Times New Roman" w:hAnsi="Times New Roman" w:eastAsia="宋体" w:cs="Times New Roman"/>
                <w:snapToGrid/>
                <w:color w:val="auto"/>
                <w:spacing w:val="0"/>
                <w:w w:val="100"/>
                <w:kern w:val="0"/>
                <w:position w:val="0"/>
                <w:sz w:val="21"/>
                <w:szCs w:val="21"/>
                <w:lang w:val="en-US" w:eastAsia="zh-CN" w:bidi="ar-SA"/>
              </w:rPr>
              <w:t>工序</w:t>
            </w:r>
            <w:r>
              <w:rPr>
                <w:rFonts w:hint="default" w:ascii="Times New Roman" w:hAnsi="Times New Roman" w:eastAsia="宋体" w:cs="Times New Roman"/>
                <w:snapToGrid/>
                <w:color w:val="auto"/>
                <w:spacing w:val="0"/>
                <w:w w:val="100"/>
                <w:kern w:val="0"/>
                <w:position w:val="0"/>
                <w:sz w:val="21"/>
                <w:szCs w:val="21"/>
                <w:lang w:val="en-US" w:eastAsia="zh-CN" w:bidi="ar-SA"/>
              </w:rPr>
              <w:t>在半密闭的喷房内进行，</w:t>
            </w:r>
            <w:r>
              <w:rPr>
                <w:rFonts w:hint="eastAsia" w:ascii="Times New Roman" w:hAnsi="Times New Roman" w:eastAsia="宋体" w:cs="Times New Roman"/>
                <w:snapToGrid/>
                <w:color w:val="auto"/>
                <w:spacing w:val="0"/>
                <w:w w:val="100"/>
                <w:kern w:val="0"/>
                <w:position w:val="0"/>
                <w:sz w:val="21"/>
                <w:szCs w:val="21"/>
                <w:lang w:val="en-US" w:eastAsia="zh-CN" w:bidi="ar-SA"/>
              </w:rPr>
              <w:t>呈负压状态，项目设置2条喷塑流水线，两套喷塑喷塑设备产生的喷塑废气经过喷塑设备自带的旋风回收装置+滤筒过滤器+袋式除尘器处理，处理后通过</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根</w:t>
            </w:r>
            <w:r>
              <w:rPr>
                <w:rFonts w:hint="default" w:ascii="Times New Roman" w:hAnsi="Times New Roman" w:eastAsia="宋体" w:cs="Times New Roman"/>
                <w:snapToGrid/>
                <w:color w:val="auto"/>
                <w:spacing w:val="0"/>
                <w:w w:val="100"/>
                <w:kern w:val="0"/>
                <w:position w:val="0"/>
                <w:sz w:val="21"/>
                <w:szCs w:val="21"/>
                <w:lang w:val="en-US" w:eastAsia="zh-CN" w:bidi="ar-SA"/>
              </w:rPr>
              <w:t>15m</w:t>
            </w:r>
            <w:r>
              <w:rPr>
                <w:rFonts w:hint="eastAsia" w:ascii="Times New Roman" w:hAnsi="Times New Roman" w:eastAsia="宋体" w:cs="Times New Roman"/>
                <w:snapToGrid/>
                <w:color w:val="auto"/>
                <w:spacing w:val="0"/>
                <w:w w:val="100"/>
                <w:kern w:val="0"/>
                <w:position w:val="0"/>
                <w:sz w:val="21"/>
                <w:szCs w:val="21"/>
                <w:lang w:val="en-US" w:eastAsia="zh-CN" w:bidi="ar-SA"/>
              </w:rPr>
              <w:t>高排气筒排放⑥</w:t>
            </w:r>
            <w:r>
              <w:rPr>
                <w:rFonts w:hint="eastAsia" w:ascii="Times New Roman" w:hAnsi="Times New Roman" w:eastAsia="宋体" w:cs="Times New Roman"/>
                <w:snapToGrid/>
                <w:color w:val="auto"/>
                <w:spacing w:val="0"/>
                <w:w w:val="100"/>
                <w:kern w:val="0"/>
                <w:position w:val="0"/>
                <w:sz w:val="21"/>
                <w:szCs w:val="21"/>
                <w:lang w:val="en-US" w:eastAsia="zh-CN"/>
              </w:rPr>
              <w:t>2#厂房喷涂固化流水线</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固化废气：</w:t>
            </w:r>
            <w:r>
              <w:rPr>
                <w:rFonts w:hint="eastAsia" w:ascii="Times New Roman" w:hAnsi="Times New Roman" w:eastAsia="宋体" w:cs="Times New Roman"/>
                <w:snapToGrid/>
                <w:color w:val="auto"/>
                <w:spacing w:val="0"/>
                <w:w w:val="100"/>
                <w:kern w:val="0"/>
                <w:position w:val="0"/>
                <w:sz w:val="21"/>
                <w:szCs w:val="21"/>
                <w:lang w:val="en-US" w:eastAsia="zh-CN" w:bidi="ar-SA"/>
              </w:rPr>
              <w:t>固化炉出气口设置集气管道，废气经集气设施收集后，引至1套“活性炭吸附浓缩</w:t>
            </w:r>
            <w:r>
              <w:rPr>
                <w:rFonts w:hint="default" w:ascii="Times New Roman" w:hAnsi="Times New Roman" w:eastAsia="宋体" w:cs="Times New Roman"/>
                <w:snapToGrid/>
                <w:color w:val="auto"/>
                <w:spacing w:val="0"/>
                <w:w w:val="100"/>
                <w:kern w:val="0"/>
                <w:position w:val="0"/>
                <w:sz w:val="21"/>
                <w:szCs w:val="21"/>
                <w:lang w:val="en-US" w:eastAsia="zh-CN" w:bidi="ar-SA"/>
              </w:rPr>
              <w:t>+</w:t>
            </w:r>
            <w:r>
              <w:rPr>
                <w:rFonts w:hint="eastAsia" w:ascii="Times New Roman" w:hAnsi="Times New Roman" w:eastAsia="宋体" w:cs="Times New Roman"/>
                <w:snapToGrid/>
                <w:color w:val="auto"/>
                <w:spacing w:val="0"/>
                <w:w w:val="100"/>
                <w:kern w:val="0"/>
                <w:position w:val="0"/>
                <w:sz w:val="21"/>
                <w:szCs w:val="21"/>
                <w:lang w:val="en-US" w:eastAsia="zh-CN" w:bidi="ar-SA"/>
              </w:rPr>
              <w:t>催化燃烧处理装置”装置处理，处理后通过</w:t>
            </w:r>
            <w:r>
              <w:rPr>
                <w:rFonts w:hint="default" w:ascii="Times New Roman" w:hAnsi="Times New Roman" w:eastAsia="宋体" w:cs="Times New Roman"/>
                <w:snapToGrid/>
                <w:color w:val="auto"/>
                <w:spacing w:val="0"/>
                <w:w w:val="100"/>
                <w:kern w:val="0"/>
                <w:position w:val="0"/>
                <w:sz w:val="21"/>
                <w:szCs w:val="21"/>
                <w:lang w:val="en-US" w:eastAsia="zh-CN" w:bidi="ar-SA"/>
              </w:rPr>
              <w:t>1</w:t>
            </w:r>
            <w:r>
              <w:rPr>
                <w:rFonts w:hint="eastAsia" w:ascii="Times New Roman" w:hAnsi="Times New Roman" w:eastAsia="宋体" w:cs="Times New Roman"/>
                <w:snapToGrid/>
                <w:color w:val="auto"/>
                <w:spacing w:val="0"/>
                <w:w w:val="100"/>
                <w:kern w:val="0"/>
                <w:position w:val="0"/>
                <w:sz w:val="21"/>
                <w:szCs w:val="21"/>
                <w:lang w:val="en-US" w:eastAsia="zh-CN" w:bidi="ar-SA"/>
              </w:rPr>
              <w:t>根</w:t>
            </w:r>
            <w:r>
              <w:rPr>
                <w:rFonts w:hint="default" w:ascii="Times New Roman" w:hAnsi="Times New Roman" w:eastAsia="宋体" w:cs="Times New Roman"/>
                <w:snapToGrid/>
                <w:color w:val="auto"/>
                <w:spacing w:val="0"/>
                <w:w w:val="100"/>
                <w:kern w:val="0"/>
                <w:position w:val="0"/>
                <w:sz w:val="21"/>
                <w:szCs w:val="21"/>
                <w:lang w:val="en-US" w:eastAsia="zh-CN" w:bidi="ar-SA"/>
              </w:rPr>
              <w:t>15m</w:t>
            </w:r>
            <w:r>
              <w:rPr>
                <w:rFonts w:hint="eastAsia" w:ascii="Times New Roman" w:hAnsi="Times New Roman" w:eastAsia="宋体" w:cs="Times New Roman"/>
                <w:snapToGrid/>
                <w:color w:val="auto"/>
                <w:spacing w:val="0"/>
                <w:w w:val="100"/>
                <w:kern w:val="0"/>
                <w:position w:val="0"/>
                <w:sz w:val="21"/>
                <w:szCs w:val="21"/>
                <w:lang w:val="en-US" w:eastAsia="zh-CN" w:bidi="ar-SA"/>
              </w:rPr>
              <w:t>高排气筒排放⑦</w:t>
            </w:r>
            <w:r>
              <w:rPr>
                <w:rFonts w:hint="eastAsia" w:ascii="Times New Roman" w:hAnsi="Times New Roman" w:eastAsia="宋体" w:cs="Times New Roman"/>
                <w:snapToGrid/>
                <w:color w:val="auto"/>
                <w:spacing w:val="0"/>
                <w:w w:val="100"/>
                <w:kern w:val="0"/>
                <w:position w:val="0"/>
                <w:sz w:val="21"/>
                <w:szCs w:val="21"/>
                <w:lang w:val="en-US" w:eastAsia="zh-CN"/>
              </w:rPr>
              <w:t>2#厂房喷涂固化流水线2#厂房喷涂固化流水线</w:t>
            </w:r>
            <w:r>
              <w:rPr>
                <w:rFonts w:hint="eastAsia" w:ascii="Times New Roman" w:hAnsi="Times New Roman" w:eastAsia="宋体" w:cs="Times New Roman"/>
                <w:b w:val="0"/>
                <w:bCs w:val="0"/>
                <w:i w:val="0"/>
                <w:iCs w:val="0"/>
                <w:snapToGrid/>
                <w:color w:val="auto"/>
                <w:spacing w:val="0"/>
                <w:w w:val="100"/>
                <w:kern w:val="0"/>
                <w:position w:val="0"/>
                <w:sz w:val="21"/>
                <w:szCs w:val="21"/>
                <w:u w:val="none"/>
                <w:lang w:val="en-US" w:eastAsia="zh-CN"/>
              </w:rPr>
              <w:t>天然气燃烧废气：</w:t>
            </w:r>
            <w:r>
              <w:rPr>
                <w:rFonts w:hint="eastAsia" w:ascii="Times New Roman" w:hAnsi="宋体"/>
                <w:color w:val="auto"/>
                <w:lang w:eastAsia="zh-CN"/>
              </w:rPr>
              <w:t>采用低氮燃烧</w:t>
            </w:r>
            <w:r>
              <w:rPr>
                <w:rFonts w:hint="eastAsia" w:ascii="Times New Roman" w:hAnsi="宋体" w:eastAsia="宋体" w:cs="Times New Roman"/>
                <w:color w:val="auto"/>
                <w:lang w:eastAsia="zh-CN"/>
              </w:rPr>
              <w:t>器，燃烧产生的废气通过固化工序有机废气排气筒一起排出。</w:t>
            </w:r>
          </w:p>
          <w:p>
            <w:pPr>
              <w:widowControl/>
              <w:ind w:firstLine="420" w:firstLineChars="200"/>
              <w:rPr>
                <w:szCs w:val="21"/>
              </w:rPr>
            </w:pPr>
            <w:r>
              <w:rPr>
                <w:rFonts w:hint="eastAsia"/>
                <w:szCs w:val="21"/>
              </w:rPr>
              <w:t>3</w:t>
            </w:r>
            <w:r>
              <w:rPr>
                <w:szCs w:val="21"/>
              </w:rPr>
              <w:t>、噪声：</w:t>
            </w:r>
            <w:r>
              <w:rPr>
                <w:rFonts w:hint="eastAsia"/>
                <w:szCs w:val="21"/>
              </w:rPr>
              <w:t>工程选用低噪声设备，采取减振、隔声等降噪措施对设备噪声进行控制，各厂界噪声应满足《工业企业厂界环境噪声排放标准》（</w:t>
            </w:r>
            <w:r>
              <w:rPr>
                <w:szCs w:val="21"/>
              </w:rPr>
              <w:t>GB12348-2008</w:t>
            </w:r>
            <w:r>
              <w:rPr>
                <w:rFonts w:hint="eastAsia"/>
                <w:szCs w:val="21"/>
              </w:rPr>
              <w:t>）</w:t>
            </w:r>
            <w:r>
              <w:rPr>
                <w:szCs w:val="21"/>
              </w:rPr>
              <w:t>3</w:t>
            </w:r>
            <w:r>
              <w:rPr>
                <w:rFonts w:hint="eastAsia"/>
                <w:szCs w:val="21"/>
              </w:rPr>
              <w:t>类标准要求。</w:t>
            </w:r>
          </w:p>
          <w:p>
            <w:pPr>
              <w:spacing w:line="240" w:lineRule="auto"/>
              <w:ind w:firstLine="210" w:firstLineChars="100"/>
              <w:jc w:val="left"/>
              <w:rPr>
                <w:rFonts w:hint="eastAsia" w:ascii="Times New Roman" w:hAnsi="宋体" w:eastAsia="宋体" w:cs="Times New Roman"/>
                <w:bCs/>
                <w:color w:val="auto"/>
                <w:sz w:val="21"/>
                <w:szCs w:val="21"/>
                <w:lang w:val="en-US" w:eastAsia="zh-CN"/>
              </w:rPr>
            </w:pPr>
            <w:r>
              <w:rPr>
                <w:rFonts w:hint="eastAsia"/>
                <w:szCs w:val="21"/>
              </w:rPr>
              <w:t>4</w:t>
            </w:r>
            <w:r>
              <w:rPr>
                <w:szCs w:val="21"/>
              </w:rPr>
              <w:t>、</w:t>
            </w:r>
            <w:r>
              <w:rPr>
                <w:rFonts w:hint="eastAsia" w:ascii="Times New Roman" w:hAnsi="宋体" w:eastAsia="宋体" w:cs="Times New Roman"/>
                <w:bCs/>
                <w:color w:val="auto"/>
                <w:sz w:val="21"/>
                <w:szCs w:val="21"/>
                <w:lang w:eastAsia="zh-CN"/>
              </w:rPr>
              <w:t>一般固废：生活垃圾在厂区收集后交由环卫部门统一处理；</w:t>
            </w:r>
            <w:r>
              <w:rPr>
                <w:rFonts w:hint="eastAsia" w:ascii="Times New Roman" w:hAnsi="宋体" w:eastAsia="宋体" w:cs="Times New Roman"/>
                <w:bCs/>
                <w:color w:val="auto"/>
                <w:sz w:val="21"/>
                <w:szCs w:val="21"/>
                <w:lang w:val="en-US" w:eastAsia="zh-CN"/>
              </w:rPr>
              <w:t>开平剪板/切割/齐口/收口等工序产生的边角料暂存在一般固废暂存间内，定期外售；焊接工序产生的废焊丝、废焊条暂存在一般固废暂存间内，定期外售；焊接、切割、抛丸、抛光打磨等工序废气处理收集的粉尘收集后暂存在一般固废暂存间内，定期外售；喷塑粉尘废气处理收集的粉尘收集后回用到喷塑工序。</w:t>
            </w:r>
          </w:p>
          <w:p>
            <w:pPr>
              <w:ind w:firstLine="420" w:firstLineChars="200"/>
            </w:pPr>
            <w:r>
              <w:rPr>
                <w:rFonts w:hint="eastAsia" w:ascii="Times New Roman" w:hAnsi="宋体" w:eastAsia="宋体" w:cs="Times New Roman"/>
                <w:bCs/>
                <w:color w:val="auto"/>
                <w:sz w:val="21"/>
                <w:szCs w:val="21"/>
                <w:lang w:eastAsia="zh-CN"/>
              </w:rPr>
              <w:t>危险固废：主要</w:t>
            </w:r>
            <w:r>
              <w:rPr>
                <w:rFonts w:hint="eastAsia" w:ascii="Times New Roman" w:hAnsi="宋体"/>
                <w:bCs/>
                <w:color w:val="auto"/>
                <w:sz w:val="21"/>
                <w:szCs w:val="21"/>
                <w:lang w:eastAsia="zh-CN"/>
              </w:rPr>
              <w:t>为有机废气治理产生的废活性炭，冲压设备产生得废液压油，设备维护过程产生的废润滑油，</w:t>
            </w:r>
            <w:r>
              <w:rPr>
                <w:rFonts w:hint="eastAsia" w:ascii="Times New Roman" w:hAnsi="宋体" w:eastAsia="宋体" w:cs="Times New Roman"/>
                <w:bCs/>
                <w:color w:val="auto"/>
                <w:sz w:val="21"/>
                <w:szCs w:val="21"/>
                <w:lang w:eastAsia="zh-CN"/>
              </w:rPr>
              <w:t>暂</w:t>
            </w:r>
            <w:r>
              <w:rPr>
                <w:rFonts w:hint="eastAsia" w:ascii="Times New Roman" w:hAnsi="宋体"/>
                <w:bCs/>
                <w:color w:val="auto"/>
                <w:sz w:val="21"/>
                <w:szCs w:val="21"/>
                <w:lang w:eastAsia="zh-CN"/>
              </w:rPr>
              <w:t>存在</w:t>
            </w:r>
            <w:r>
              <w:rPr>
                <w:rFonts w:hint="default" w:ascii="Times New Roman" w:hAnsi="Times New Roman" w:eastAsia="宋体" w:cs="Times New Roman"/>
                <w:snapToGrid/>
                <w:color w:val="auto"/>
                <w:spacing w:val="0"/>
                <w:kern w:val="0"/>
                <w:position w:val="0"/>
                <w:sz w:val="21"/>
                <w:szCs w:val="21"/>
                <w:lang w:val="en-US" w:eastAsia="zh-CN" w:bidi="ar-SA"/>
              </w:rPr>
              <w:t>危险废物暂存间</w:t>
            </w:r>
            <w:r>
              <w:rPr>
                <w:rFonts w:hint="eastAsia" w:ascii="Times New Roman" w:hAnsi="Times New Roman" w:eastAsia="宋体" w:cs="Times New Roman"/>
                <w:snapToGrid/>
                <w:color w:val="auto"/>
                <w:spacing w:val="0"/>
                <w:kern w:val="0"/>
                <w:position w:val="0"/>
                <w:sz w:val="21"/>
                <w:szCs w:val="21"/>
                <w:lang w:val="en-US" w:eastAsia="zh-CN" w:bidi="ar-SA"/>
              </w:rPr>
              <w:t>，</w:t>
            </w:r>
            <w:r>
              <w:rPr>
                <w:rFonts w:hint="default" w:ascii="Times New Roman" w:hAnsi="Times New Roman" w:eastAsia="宋体" w:cs="Times New Roman"/>
                <w:snapToGrid/>
                <w:color w:val="auto"/>
                <w:spacing w:val="0"/>
                <w:kern w:val="0"/>
                <w:position w:val="0"/>
                <w:sz w:val="21"/>
                <w:szCs w:val="21"/>
                <w:lang w:val="en-US" w:eastAsia="zh-CN" w:bidi="ar-SA"/>
              </w:rPr>
              <w:t>定期委托有资质的危险废物处理单位安全处置。</w:t>
            </w:r>
          </w:p>
        </w:tc>
      </w:tr>
    </w:tbl>
    <w:p/>
    <w:sectPr>
      <w:pgSz w:w="16838" w:h="11906" w:orient="landscape"/>
      <w:pgMar w:top="1474" w:right="1588" w:bottom="147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752B7"/>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118C"/>
    <w:rsid w:val="007F2CA0"/>
    <w:rsid w:val="00801EBC"/>
    <w:rsid w:val="00890BAD"/>
    <w:rsid w:val="008918E7"/>
    <w:rsid w:val="008B1FCE"/>
    <w:rsid w:val="008C6827"/>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F72450"/>
    <w:rsid w:val="04E55602"/>
    <w:rsid w:val="06600C79"/>
    <w:rsid w:val="07AF1E67"/>
    <w:rsid w:val="0F304CF4"/>
    <w:rsid w:val="114105BA"/>
    <w:rsid w:val="13E96481"/>
    <w:rsid w:val="19561BC7"/>
    <w:rsid w:val="1B7C72FE"/>
    <w:rsid w:val="1D713B37"/>
    <w:rsid w:val="1FCD1D53"/>
    <w:rsid w:val="31EA3933"/>
    <w:rsid w:val="36865A1B"/>
    <w:rsid w:val="375006D7"/>
    <w:rsid w:val="3B9C0577"/>
    <w:rsid w:val="3DA03245"/>
    <w:rsid w:val="41496E60"/>
    <w:rsid w:val="444306B4"/>
    <w:rsid w:val="444B5A71"/>
    <w:rsid w:val="487D4D62"/>
    <w:rsid w:val="4F685691"/>
    <w:rsid w:val="50137DC6"/>
    <w:rsid w:val="57690E03"/>
    <w:rsid w:val="5F6E6039"/>
    <w:rsid w:val="620F0E3C"/>
    <w:rsid w:val="62A77163"/>
    <w:rsid w:val="63C17BCC"/>
    <w:rsid w:val="774F11FF"/>
    <w:rsid w:val="7B4366D9"/>
    <w:rsid w:val="7FA15F8E"/>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spacing w:line="500" w:lineRule="exact"/>
    </w:pPr>
    <w:rPr>
      <w:rFonts w:ascii="宋体" w:hAnsi="宋体"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4">
    <w:name w:val="Plain Text"/>
    <w:basedOn w:val="1"/>
    <w:unhideWhenUsed/>
    <w:qFormat/>
    <w:uiPriority w:val="99"/>
    <w:rPr>
      <w:rFonts w:ascii="宋体" w:hAnsi="Courier New"/>
    </w:rPr>
  </w:style>
  <w:style w:type="paragraph" w:styleId="6">
    <w:name w:val="Normal Indent"/>
    <w:basedOn w:val="1"/>
    <w:link w:val="19"/>
    <w:qFormat/>
    <w:uiPriority w:val="0"/>
    <w:pPr>
      <w:ind w:firstLine="420" w:firstLineChars="200"/>
    </w:pPr>
    <w:rPr>
      <w:szCs w:val="20"/>
    </w:rPr>
  </w:style>
  <w:style w:type="paragraph" w:styleId="7">
    <w:name w:val="Body Text"/>
    <w:basedOn w:val="1"/>
    <w:link w:val="18"/>
    <w:qFormat/>
    <w:uiPriority w:val="0"/>
    <w:pPr>
      <w:spacing w:after="120"/>
    </w:pPr>
  </w:style>
  <w:style w:type="paragraph" w:styleId="8">
    <w:name w:val="Body Text Indent"/>
    <w:basedOn w:val="1"/>
    <w:unhideWhenUsed/>
    <w:qFormat/>
    <w:uiPriority w:val="99"/>
    <w:pPr>
      <w:spacing w:after="120"/>
      <w:ind w:left="420" w:leftChars="200"/>
    </w:pPr>
    <w:rPr>
      <w:kern w:val="0"/>
      <w:sz w:val="24"/>
      <w:szCs w:val="20"/>
    </w:rPr>
  </w:style>
  <w:style w:type="paragraph" w:styleId="9">
    <w:name w:val="Block Text"/>
    <w:basedOn w:val="1"/>
    <w:next w:val="1"/>
    <w:qFormat/>
    <w:uiPriority w:val="0"/>
    <w:pPr>
      <w:snapToGrid w:val="0"/>
      <w:spacing w:before="100" w:beforeAutospacing="1" w:after="100" w:afterAutospacing="1" w:line="408" w:lineRule="auto"/>
      <w:ind w:left="-113" w:right="-510" w:firstLine="510"/>
    </w:pPr>
  </w:style>
  <w:style w:type="paragraph" w:styleId="10">
    <w:name w:val="footer"/>
    <w:basedOn w:val="1"/>
    <w:link w:val="17"/>
    <w:qFormat/>
    <w:uiPriority w:val="0"/>
    <w:pPr>
      <w:tabs>
        <w:tab w:val="center" w:pos="4153"/>
        <w:tab w:val="right" w:pos="8306"/>
      </w:tabs>
      <w:snapToGrid w:val="0"/>
      <w:jc w:val="left"/>
    </w:pPr>
    <w:rPr>
      <w:sz w:val="18"/>
      <w:szCs w:val="18"/>
    </w:rPr>
  </w:style>
  <w:style w:type="paragraph" w:styleId="11">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8"/>
    <w:next w:val="1"/>
    <w:unhideWhenUsed/>
    <w:qFormat/>
    <w:uiPriority w:val="0"/>
    <w:pPr>
      <w:ind w:firstLine="42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15"/>
    <w:link w:val="11"/>
    <w:qFormat/>
    <w:uiPriority w:val="0"/>
    <w:rPr>
      <w:kern w:val="2"/>
      <w:sz w:val="18"/>
      <w:szCs w:val="18"/>
    </w:rPr>
  </w:style>
  <w:style w:type="character" w:customStyle="1" w:styleId="17">
    <w:name w:val="页脚 字符"/>
    <w:basedOn w:val="15"/>
    <w:link w:val="10"/>
    <w:qFormat/>
    <w:uiPriority w:val="0"/>
    <w:rPr>
      <w:kern w:val="2"/>
      <w:sz w:val="18"/>
      <w:szCs w:val="18"/>
    </w:rPr>
  </w:style>
  <w:style w:type="character" w:customStyle="1" w:styleId="18">
    <w:name w:val="正文文本 字符"/>
    <w:basedOn w:val="15"/>
    <w:link w:val="7"/>
    <w:qFormat/>
    <w:uiPriority w:val="0"/>
    <w:rPr>
      <w:kern w:val="2"/>
      <w:sz w:val="21"/>
    </w:rPr>
  </w:style>
  <w:style w:type="character" w:customStyle="1" w:styleId="19">
    <w:name w:val="正文缩进 字符"/>
    <w:basedOn w:val="15"/>
    <w:link w:val="6"/>
    <w:qFormat/>
    <w:uiPriority w:val="0"/>
    <w:rPr>
      <w:kern w:val="2"/>
      <w:sz w:val="21"/>
    </w:rPr>
  </w:style>
  <w:style w:type="paragraph" w:styleId="20">
    <w:name w:val="List Paragraph"/>
    <w:basedOn w:val="1"/>
    <w:qFormat/>
    <w:uiPriority w:val="34"/>
    <w:pPr>
      <w:adjustRightInd w:val="0"/>
      <w:snapToGrid w:val="0"/>
      <w:spacing w:line="360" w:lineRule="auto"/>
      <w:ind w:firstLine="420" w:firstLineChars="200"/>
    </w:pPr>
    <w:rPr>
      <w:sz w:val="24"/>
    </w:rPr>
  </w:style>
  <w:style w:type="character" w:customStyle="1" w:styleId="21">
    <w:name w:val="报告正文 Char"/>
    <w:link w:val="22"/>
    <w:qFormat/>
    <w:uiPriority w:val="0"/>
    <w:rPr>
      <w:rFonts w:ascii="宋体" w:hAnsi="宋体"/>
      <w:sz w:val="28"/>
    </w:rPr>
  </w:style>
  <w:style w:type="paragraph" w:customStyle="1" w:styleId="22">
    <w:name w:val="报告正文"/>
    <w:basedOn w:val="1"/>
    <w:link w:val="21"/>
    <w:qFormat/>
    <w:uiPriority w:val="0"/>
    <w:pPr>
      <w:snapToGrid w:val="0"/>
      <w:spacing w:line="360" w:lineRule="auto"/>
      <w:ind w:firstLine="200" w:firstLineChars="200"/>
    </w:pPr>
    <w:rPr>
      <w:rFonts w:ascii="宋体" w:hAnsi="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1643</Words>
  <Characters>1719</Characters>
  <Lines>8</Lines>
  <Paragraphs>2</Paragraphs>
  <TotalTime>3</TotalTime>
  <ScaleCrop>false</ScaleCrop>
  <LinksUpToDate>false</LinksUpToDate>
  <CharactersWithSpaces>1719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2022-09-26T08:57:04Z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CBF00FE6FEC845468DDB65B2EEDF6528</vt:lpwstr>
  </property>
</Properties>
</file>