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eastAsia="宋体"/>
          <w:lang w:eastAsia="zh-CN"/>
        </w:rPr>
      </w:pPr>
      <w:r>
        <w:rPr>
          <w:sz w:val="28"/>
          <w:szCs w:val="28"/>
        </w:rPr>
        <w:t>拟审批的建设项目</w:t>
      </w:r>
      <w:r>
        <w:rPr>
          <w:rFonts w:hint="eastAsia"/>
          <w:sz w:val="28"/>
          <w:szCs w:val="28"/>
          <w:lang w:val="en-US" w:eastAsia="zh-CN"/>
        </w:rPr>
        <w:t>采取的污染防治措施（</w:t>
      </w:r>
      <w:r>
        <w:rPr>
          <w:sz w:val="28"/>
          <w:szCs w:val="28"/>
        </w:rPr>
        <w:t>环境影响报告表</w:t>
      </w:r>
      <w:r>
        <w:rPr>
          <w:rFonts w:hint="eastAsia"/>
          <w:sz w:val="28"/>
          <w:szCs w:val="28"/>
          <w:lang w:val="en-US" w:eastAsia="zh-CN"/>
        </w:rPr>
        <w:t>内容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）</w:t>
      </w:r>
    </w:p>
    <w:tbl>
      <w:tblPr>
        <w:tblStyle w:val="14"/>
        <w:tblW w:w="13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567"/>
        <w:gridCol w:w="567"/>
        <w:gridCol w:w="567"/>
        <w:gridCol w:w="567"/>
        <w:gridCol w:w="1661"/>
        <w:gridCol w:w="9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项目名称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建设地点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建设单位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环境影响评价机构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建设项目概况</w:t>
            </w:r>
          </w:p>
        </w:tc>
        <w:tc>
          <w:tcPr>
            <w:tcW w:w="999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主要环境影响及预防或减轻不良环境影响的对策和措施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河南建业包装科技有限公司年生产1.8亿个纸箱建设项目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河南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商丘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民权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县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高新区冰熊大道东段南侧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99号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河南建业包装科技有限公司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河南省波光环境评估服务有限公司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根据《产业结构调整指导目录（</w:t>
            </w:r>
            <w:r>
              <w:rPr>
                <w:sz w:val="21"/>
                <w:szCs w:val="21"/>
              </w:rPr>
              <w:t>2019</w:t>
            </w:r>
            <w:r>
              <w:rPr>
                <w:rFonts w:hint="eastAsia"/>
                <w:sz w:val="21"/>
                <w:szCs w:val="21"/>
              </w:rPr>
              <w:t>年本）》，该项目不属于鼓励类、限制类和淘汰类项目，因此该项目属于国家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允许类项目，符合国家产业政策和地方发展规划。属于新建性质，占地面积</w:t>
            </w:r>
            <w:r>
              <w:rPr>
                <w:rFonts w:hint="default" w:ascii="Times New Roman" w:hAnsi="宋体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6384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9m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，建设生产车间和办公楼，</w:t>
            </w:r>
            <w:r>
              <w:rPr>
                <w:rFonts w:hint="default" w:ascii="Times New Roman" w:hAnsi="宋体" w:eastAsia="宋体" w:cs="Times New Roman"/>
                <w:bCs/>
                <w:color w:val="auto"/>
                <w:sz w:val="21"/>
                <w:szCs w:val="21"/>
                <w:lang w:val="zh-CN" w:eastAsia="zh-CN"/>
              </w:rPr>
              <w:t>年生产1.8亿个纸箱</w:t>
            </w:r>
            <w:r>
              <w:rPr>
                <w:rFonts w:hint="eastAsia" w:ascii="Times New Roman" w:hAnsi="宋体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。总投资10000万元，项目环保投资47.5万元，占总投资的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0.475</w:t>
            </w:r>
            <w:r>
              <w:rPr>
                <w:sz w:val="21"/>
                <w:szCs w:val="21"/>
              </w:rPr>
              <w:t>%。</w:t>
            </w:r>
          </w:p>
        </w:tc>
        <w:tc>
          <w:tcPr>
            <w:tcW w:w="9990" w:type="dxa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1、废水：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本项目营运期废水主要为水墨印刷机清洗废水、软水制备废水、离子交换树脂反冲洗废水和锅炉排水以及生活污水。印刷清洗废水经厂区自建污水处理站处理后进入厂区总排口，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排入市政管网，由市政管网进入民权县污水处理厂进行处理；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生活污水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经厂区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化粪池处理后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由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厂区总排污口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排入市政管网进入民权县污水处理厂进行处理；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锅炉排污水、软化处理废水、离子交换树脂反冲洗废水属于清净下水，直接排入厂区总排污口，与其他废气一起进入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民权县污水处理厂进行处理。</w:t>
            </w:r>
          </w:p>
          <w:p>
            <w:pPr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Cs w:val="21"/>
              </w:rPr>
              <w:t>2、废气</w:t>
            </w:r>
            <w:r>
              <w:rPr>
                <w:rFonts w:hint="eastAsia"/>
                <w:color w:val="000000"/>
                <w:kern w:val="0"/>
                <w:szCs w:val="21"/>
              </w:rPr>
              <w:t>：①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印刷工序</w:t>
            </w:r>
            <w:r>
              <w:rPr>
                <w:rFonts w:ascii="Times New Roman" w:hAnsi="宋体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覆膜工序挥发性有机废气：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</w:rPr>
              <w:t>拟采用密闭罩的形式，将每台印刷机以及覆膜机进行密闭，采用顶吸方式，然后通过支风管汇集到排气干管上，将废气引至一套“活性炭吸附浓缩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</w:rPr>
              <w:t>+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</w:rPr>
              <w:t>催化燃烧处理装置”进行处理，处理后通过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</w:rPr>
              <w:t>根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</w:rPr>
              <w:t>6.5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</w:rPr>
              <w:t>m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</w:rPr>
              <w:t>高排气筒排放</w:t>
            </w:r>
            <w:r>
              <w:rPr>
                <w:rFonts w:hint="eastAsia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天然气蒸汽锅炉燃烧废气：</w:t>
            </w:r>
            <w:r>
              <w:rPr>
                <w:rFonts w:hint="eastAsia" w:ascii="TimesNewRomanPSMT" w:hAnsi="TimesNewRomanPSMT" w:eastAsia="宋体"/>
                <w:color w:val="auto"/>
                <w:sz w:val="21"/>
                <w:szCs w:val="21"/>
                <w:lang w:val="en-US" w:eastAsia="zh-CN"/>
              </w:rPr>
              <w:t>采用低氮燃烧器，然后将废气通过16.5m的排气筒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 w:bidi="ar-SA"/>
              </w:rPr>
              <w:t>排放</w:t>
            </w:r>
            <w:r>
              <w:rPr>
                <w:rFonts w:hint="eastAsia" w:cs="Times New Roman"/>
                <w:snapToGrid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、噪声：</w:t>
            </w:r>
            <w:r>
              <w:rPr>
                <w:rFonts w:hint="eastAsia"/>
                <w:szCs w:val="21"/>
              </w:rPr>
              <w:t>工程选用低噪声设备，采取减振、隔声等降噪措施对设备噪声进行控制，各厂界噪声应满足《工业企业厂界环境噪声排放标准》（</w:t>
            </w:r>
            <w:r>
              <w:rPr>
                <w:szCs w:val="21"/>
              </w:rPr>
              <w:t>GB12348-2008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类标准要求。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4、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固废：生活垃圾在厂区收集后交由环卫部门统一处理；</w:t>
            </w:r>
          </w:p>
          <w:p>
            <w:pPr>
              <w:spacing w:line="240" w:lineRule="auto"/>
              <w:ind w:firstLine="210" w:firstLineChars="100"/>
              <w:jc w:val="lef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一般固废：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定尺切割、模切产生的废边角料收集后暂存在一般固废暂存间内，定期外售。使用玉米淀粉胶过程中产生的包装桶，收集后暂存在一般固废暂存间内，交由供应商回收处置。</w:t>
            </w:r>
          </w:p>
          <w:p>
            <w:pPr>
              <w:spacing w:line="240" w:lineRule="auto"/>
              <w:ind w:firstLine="210" w:firstLineChars="100"/>
              <w:jc w:val="left"/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危险固废：主要为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印刷工序产生的废油墨桶、印刷机擦拭产生的废抹布、有机废气治理产生的废活性炭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。暂存在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危险废物暂存间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定期委托有资质的危险废物处理单位安全处置。</w:t>
            </w:r>
          </w:p>
        </w:tc>
      </w:tr>
    </w:tbl>
    <w:p/>
    <w:sectPr>
      <w:pgSz w:w="16838" w:h="11906" w:orient="landscape"/>
      <w:pgMar w:top="1474" w:right="1588" w:bottom="147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0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E0NGUwZWRhZTVhZmE4MjA4MmQyYTUwNjg2MGE2OWMifQ=="/>
  </w:docVars>
  <w:rsids>
    <w:rsidRoot w:val="02F72450"/>
    <w:rsid w:val="00013EB8"/>
    <w:rsid w:val="00032F7A"/>
    <w:rsid w:val="00056DA8"/>
    <w:rsid w:val="000D0072"/>
    <w:rsid w:val="000E774C"/>
    <w:rsid w:val="000F7BBC"/>
    <w:rsid w:val="001064C0"/>
    <w:rsid w:val="00120DB2"/>
    <w:rsid w:val="00173A9D"/>
    <w:rsid w:val="00175A80"/>
    <w:rsid w:val="001A591F"/>
    <w:rsid w:val="001C1B69"/>
    <w:rsid w:val="001D10B4"/>
    <w:rsid w:val="001E1D08"/>
    <w:rsid w:val="001E2A8D"/>
    <w:rsid w:val="00221BD9"/>
    <w:rsid w:val="0023520D"/>
    <w:rsid w:val="00244621"/>
    <w:rsid w:val="00251348"/>
    <w:rsid w:val="00282012"/>
    <w:rsid w:val="002A404E"/>
    <w:rsid w:val="002C175F"/>
    <w:rsid w:val="00321146"/>
    <w:rsid w:val="003955E9"/>
    <w:rsid w:val="003C6E0F"/>
    <w:rsid w:val="003E38AB"/>
    <w:rsid w:val="00465F79"/>
    <w:rsid w:val="004700C1"/>
    <w:rsid w:val="004752B7"/>
    <w:rsid w:val="00483ED3"/>
    <w:rsid w:val="004B5F52"/>
    <w:rsid w:val="004E746F"/>
    <w:rsid w:val="00500BAA"/>
    <w:rsid w:val="00627E03"/>
    <w:rsid w:val="006322A0"/>
    <w:rsid w:val="00641BB9"/>
    <w:rsid w:val="006A377F"/>
    <w:rsid w:val="006E5D8B"/>
    <w:rsid w:val="006F12C2"/>
    <w:rsid w:val="006F4CFC"/>
    <w:rsid w:val="00711BC6"/>
    <w:rsid w:val="00716C75"/>
    <w:rsid w:val="00773AA5"/>
    <w:rsid w:val="00777949"/>
    <w:rsid w:val="007A1B2D"/>
    <w:rsid w:val="007A4004"/>
    <w:rsid w:val="007B1A2A"/>
    <w:rsid w:val="007F118C"/>
    <w:rsid w:val="007F2CA0"/>
    <w:rsid w:val="00801EBC"/>
    <w:rsid w:val="00890BAD"/>
    <w:rsid w:val="008918E7"/>
    <w:rsid w:val="008B1FCE"/>
    <w:rsid w:val="008C6827"/>
    <w:rsid w:val="008D1DD5"/>
    <w:rsid w:val="008F5F29"/>
    <w:rsid w:val="0096378F"/>
    <w:rsid w:val="009A1DCD"/>
    <w:rsid w:val="009D41E1"/>
    <w:rsid w:val="009F468C"/>
    <w:rsid w:val="00A1704C"/>
    <w:rsid w:val="00A222A2"/>
    <w:rsid w:val="00A266EB"/>
    <w:rsid w:val="00A415AC"/>
    <w:rsid w:val="00A96FA6"/>
    <w:rsid w:val="00B07FE8"/>
    <w:rsid w:val="00B25D63"/>
    <w:rsid w:val="00B42394"/>
    <w:rsid w:val="00B55070"/>
    <w:rsid w:val="00B82A97"/>
    <w:rsid w:val="00B95730"/>
    <w:rsid w:val="00BB1E68"/>
    <w:rsid w:val="00C00B05"/>
    <w:rsid w:val="00C60A64"/>
    <w:rsid w:val="00CD777E"/>
    <w:rsid w:val="00CF6E04"/>
    <w:rsid w:val="00D041D9"/>
    <w:rsid w:val="00D22F60"/>
    <w:rsid w:val="00D83101"/>
    <w:rsid w:val="00D834E3"/>
    <w:rsid w:val="00DB2071"/>
    <w:rsid w:val="00DC090E"/>
    <w:rsid w:val="00DD3551"/>
    <w:rsid w:val="00E02BC4"/>
    <w:rsid w:val="00E05300"/>
    <w:rsid w:val="00E27F07"/>
    <w:rsid w:val="00E96B62"/>
    <w:rsid w:val="00F46C03"/>
    <w:rsid w:val="00F60A70"/>
    <w:rsid w:val="00F855AC"/>
    <w:rsid w:val="00F94B8F"/>
    <w:rsid w:val="02551F9D"/>
    <w:rsid w:val="02F72450"/>
    <w:rsid w:val="04E55602"/>
    <w:rsid w:val="06600C79"/>
    <w:rsid w:val="07AF1E67"/>
    <w:rsid w:val="114105BA"/>
    <w:rsid w:val="13255454"/>
    <w:rsid w:val="13E96481"/>
    <w:rsid w:val="19561BC7"/>
    <w:rsid w:val="1B7C72FE"/>
    <w:rsid w:val="1D713B37"/>
    <w:rsid w:val="1FCD1D53"/>
    <w:rsid w:val="31EA3933"/>
    <w:rsid w:val="36865A1B"/>
    <w:rsid w:val="375006D7"/>
    <w:rsid w:val="3B9C0577"/>
    <w:rsid w:val="3DA03245"/>
    <w:rsid w:val="41496E60"/>
    <w:rsid w:val="444306B4"/>
    <w:rsid w:val="444B5A71"/>
    <w:rsid w:val="487D4D62"/>
    <w:rsid w:val="4A54789E"/>
    <w:rsid w:val="4F685691"/>
    <w:rsid w:val="50137DC6"/>
    <w:rsid w:val="57690E03"/>
    <w:rsid w:val="5F6E6039"/>
    <w:rsid w:val="620F0E3C"/>
    <w:rsid w:val="62A77163"/>
    <w:rsid w:val="63C17BCC"/>
    <w:rsid w:val="774F11FF"/>
    <w:rsid w:val="7B4366D9"/>
    <w:rsid w:val="7FA15F8E"/>
    <w:rsid w:val="7FA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widowControl w:val="0"/>
      <w:autoSpaceDE w:val="0"/>
      <w:autoSpaceDN w:val="0"/>
      <w:spacing w:line="500" w:lineRule="exact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/>
    </w:rPr>
  </w:style>
  <w:style w:type="paragraph" w:styleId="6">
    <w:name w:val="Normal Indent"/>
    <w:basedOn w:val="1"/>
    <w:link w:val="19"/>
    <w:qFormat/>
    <w:uiPriority w:val="0"/>
    <w:pPr>
      <w:ind w:firstLine="420" w:firstLineChars="200"/>
    </w:pPr>
    <w:rPr>
      <w:szCs w:val="20"/>
    </w:rPr>
  </w:style>
  <w:style w:type="paragraph" w:styleId="7">
    <w:name w:val="Body Text"/>
    <w:basedOn w:val="1"/>
    <w:link w:val="18"/>
    <w:qFormat/>
    <w:uiPriority w:val="0"/>
    <w:pPr>
      <w:spacing w:after="120"/>
    </w:pPr>
  </w:style>
  <w:style w:type="paragraph" w:styleId="8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 w:val="24"/>
      <w:szCs w:val="20"/>
    </w:rPr>
  </w:style>
  <w:style w:type="paragraph" w:styleId="9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10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8"/>
    <w:next w:val="1"/>
    <w:unhideWhenUsed/>
    <w:qFormat/>
    <w:uiPriority w:val="0"/>
    <w:pPr>
      <w:ind w:firstLine="420"/>
    </w:p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页眉 字符"/>
    <w:basedOn w:val="15"/>
    <w:link w:val="11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5"/>
    <w:link w:val="10"/>
    <w:qFormat/>
    <w:uiPriority w:val="0"/>
    <w:rPr>
      <w:kern w:val="2"/>
      <w:sz w:val="18"/>
      <w:szCs w:val="18"/>
    </w:rPr>
  </w:style>
  <w:style w:type="character" w:customStyle="1" w:styleId="18">
    <w:name w:val="正文文本 字符"/>
    <w:basedOn w:val="15"/>
    <w:link w:val="7"/>
    <w:qFormat/>
    <w:uiPriority w:val="0"/>
    <w:rPr>
      <w:kern w:val="2"/>
      <w:sz w:val="21"/>
    </w:rPr>
  </w:style>
  <w:style w:type="character" w:customStyle="1" w:styleId="19">
    <w:name w:val="正文缩进 字符"/>
    <w:basedOn w:val="15"/>
    <w:link w:val="6"/>
    <w:qFormat/>
    <w:uiPriority w:val="0"/>
    <w:rPr>
      <w:kern w:val="2"/>
      <w:sz w:val="21"/>
    </w:rPr>
  </w:style>
  <w:style w:type="paragraph" w:styleId="20">
    <w:name w:val="List Paragraph"/>
    <w:basedOn w:val="1"/>
    <w:qFormat/>
    <w:uiPriority w:val="34"/>
    <w:pPr>
      <w:adjustRightInd w:val="0"/>
      <w:snapToGrid w:val="0"/>
      <w:spacing w:line="360" w:lineRule="auto"/>
      <w:ind w:firstLine="420" w:firstLineChars="200"/>
    </w:pPr>
    <w:rPr>
      <w:sz w:val="24"/>
    </w:rPr>
  </w:style>
  <w:style w:type="character" w:customStyle="1" w:styleId="21">
    <w:name w:val="报告正文 Char"/>
    <w:link w:val="22"/>
    <w:qFormat/>
    <w:uiPriority w:val="0"/>
    <w:rPr>
      <w:rFonts w:ascii="宋体" w:hAnsi="宋体"/>
      <w:sz w:val="28"/>
    </w:rPr>
  </w:style>
  <w:style w:type="paragraph" w:customStyle="1" w:styleId="22">
    <w:name w:val="报告正文"/>
    <w:basedOn w:val="1"/>
    <w:link w:val="21"/>
    <w:qFormat/>
    <w:uiPriority w:val="0"/>
    <w:pPr>
      <w:snapToGrid w:val="0"/>
      <w:spacing w:line="360" w:lineRule="auto"/>
      <w:ind w:firstLine="20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893</Words>
  <Characters>938</Characters>
  <Lines>8</Lines>
  <Paragraphs>2</Paragraphs>
  <TotalTime>3</TotalTime>
  <ScaleCrop>false</ScaleCrop>
  <LinksUpToDate>false</LinksUpToDate>
  <CharactersWithSpaces>938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2019-01-21T06:33:00Z</dcterms:created>
  <dc:creator>qiaqia</dc:creator>
  <cp:lastModifiedBy>南是故乡</cp:lastModifiedBy>
  <dcterms:modified xsi:type="dcterms:W3CDTF">2022-10-21T07:16:24Z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CBF00FE6FEC845468DDB65B2EEDF6528</vt:lpwstr>
  </property>
</Properties>
</file>