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color w:val="auto"/>
          <w:spacing w:val="-14"/>
          <w:sz w:val="32"/>
          <w:szCs w:val="32"/>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FF0000"/>
          <w:sz w:val="24"/>
          <w:szCs w:val="24"/>
          <w:lang w:val="en-US" w:eastAsia="zh-CN"/>
        </w:rPr>
        <w:t xml:space="preserve"> </w:t>
      </w:r>
      <w:r>
        <w:rPr>
          <w:rFonts w:hint="eastAsia" w:ascii="宋体" w:hAnsi="宋体" w:eastAsia="宋体" w:cs="宋体"/>
          <w:b w:val="0"/>
          <w:bCs/>
          <w:color w:val="auto"/>
          <w:sz w:val="24"/>
          <w:szCs w:val="24"/>
          <w:lang w:val="en-US" w:eastAsia="zh-CN"/>
        </w:rPr>
        <w:t xml:space="preserve"> 民环审[202</w:t>
      </w:r>
      <w:r>
        <w:rPr>
          <w:rFonts w:hint="eastAsia" w:ascii="宋体" w:hAnsi="宋体" w:cs="宋体"/>
          <w:b w:val="0"/>
          <w:bCs/>
          <w:color w:val="auto"/>
          <w:sz w:val="24"/>
          <w:szCs w:val="24"/>
          <w:lang w:val="en-US" w:eastAsia="zh-CN"/>
        </w:rPr>
        <w:t>2</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026</w:t>
      </w:r>
      <w:r>
        <w:rPr>
          <w:rFonts w:hint="eastAsia" w:ascii="宋体" w:hAnsi="宋体" w:eastAsia="宋体" w:cs="宋体"/>
          <w:b w:val="0"/>
          <w:bCs/>
          <w:color w:val="auto"/>
          <w:sz w:val="24"/>
          <w:szCs w:val="24"/>
          <w:lang w:val="en-US" w:eastAsia="zh-CN"/>
        </w:rPr>
        <w:t>号</w:t>
      </w:r>
    </w:p>
    <w:p>
      <w:pPr>
        <w:pStyle w:val="6"/>
        <w:spacing w:before="0" w:beforeAutospacing="0" w:after="0" w:afterAutospacing="0" w:line="600" w:lineRule="exact"/>
        <w:jc w:val="center"/>
        <w:rPr>
          <w:rFonts w:hint="eastAsia" w:ascii="宋体" w:hAnsi="宋体" w:eastAsia="宋体" w:cs="宋体"/>
          <w:b/>
          <w:bCs/>
          <w:sz w:val="36"/>
          <w:szCs w:val="36"/>
        </w:rPr>
      </w:pPr>
    </w:p>
    <w:p>
      <w:pPr>
        <w:pStyle w:val="6"/>
        <w:spacing w:before="0" w:beforeAutospacing="0" w:after="0" w:afterAutospacing="0" w:line="600" w:lineRule="exact"/>
        <w:jc w:val="center"/>
        <w:rPr>
          <w:rFonts w:ascii="Times New Roman" w:hAnsi="Times New Roman" w:eastAsia="方正小标宋_GBK" w:cs="Times New Roman"/>
          <w:sz w:val="36"/>
          <w:szCs w:val="36"/>
        </w:rPr>
      </w:pPr>
      <w:r>
        <w:rPr>
          <w:rFonts w:hint="eastAsia" w:ascii="宋体" w:hAnsi="宋体" w:eastAsia="宋体" w:cs="宋体"/>
          <w:b/>
          <w:bCs/>
          <w:sz w:val="36"/>
          <w:szCs w:val="36"/>
        </w:rPr>
        <w:t>关于民权县城乡发展投资有限公司民权县泰安健康产业园项目环境影响报告书的批复</w:t>
      </w:r>
    </w:p>
    <w:p>
      <w:pPr>
        <w:pStyle w:val="6"/>
        <w:spacing w:before="0" w:beforeAutospacing="0" w:after="0" w:afterAutospacing="0" w:line="300" w:lineRule="exact"/>
        <w:jc w:val="center"/>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民权县城乡发展投资有限公司: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你公司报送的由河南金浪桥工程管理有限公司编制完成的《民权县城乡发展投资有限公司民权县泰安健康产业园项目环境影响报告书》（以下简称“报告书”）已收悉。项目拟审批事项民权县政府网站公示期满，无异议。经研究，批复如下：</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一、《报告书》内容符合国家有关法律法规要求和建设项目环境管理规定，评价结论可信，我局批准该《报告书》。原则同意你公司按照《报告书》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二、你公司应向社会主动公开经批准的《报告书》，并接受相关方的咨询。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三、你公司应全面落实《报告书》提出的各项目环境保护措施，确保各项环境保护设施与主体工程同时设计、同时施工、同时投入使用，确保各项污染物达标排放。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（一）向设计单位提供《报告书》和本批复文件，确保项目设计按照环境保护设计规范要求，落实防治环境污染和生态破坏的措施以及环保设施投资概算。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（二）依据《报告书》和本批复文件，对项目建设过程中产生的废水、废气、固体废物、噪声、震动等污染，以及因施工对自然、生态环境造成的破坏，采取相应的防治措施。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0000FF"/>
          <w:sz w:val="24"/>
          <w:lang w:eastAsia="zh-CN"/>
        </w:rPr>
      </w:pPr>
      <w:r>
        <w:rPr>
          <w:rFonts w:hint="eastAsia" w:ascii="仿宋" w:hAnsi="仿宋" w:eastAsia="仿宋" w:cs="Times New Roman"/>
          <w:sz w:val="24"/>
          <w:lang w:eastAsia="zh-CN"/>
        </w:rPr>
        <w:t>1、废水：</w:t>
      </w:r>
      <w:r>
        <w:rPr>
          <w:rFonts w:hint="eastAsia" w:ascii="仿宋" w:hAnsi="仿宋" w:eastAsia="仿宋" w:cs="Times New Roman"/>
          <w:sz w:val="24"/>
          <w:lang w:val="en-US" w:eastAsia="zh-CN"/>
        </w:rPr>
        <w:t>废水经化粪池预处理后进入污水处理站处理，满足《医疗机构水污染物排放标准》（GB18466-2005）中表2标准和民权县污水处理厂接水标准要求后，</w:t>
      </w:r>
      <w:r>
        <w:rPr>
          <w:rFonts w:hint="eastAsia" w:ascii="仿宋" w:hAnsi="仿宋" w:eastAsia="仿宋" w:cs="Times New Roman"/>
          <w:color w:val="000000" w:themeColor="text1"/>
          <w:sz w:val="24"/>
          <w:lang w:val="en-US" w:eastAsia="zh-CN"/>
          <w14:textFill>
            <w14:solidFill>
              <w14:schemeClr w14:val="tx1"/>
            </w14:solidFill>
          </w14:textFill>
        </w:rPr>
        <w:t>进入民权县污水处理厂进一步处理，废水还得随意外排</w:t>
      </w:r>
      <w:r>
        <w:rPr>
          <w:rFonts w:hint="eastAsia" w:ascii="仿宋" w:hAnsi="仿宋" w:eastAsia="仿宋" w:cs="Times New Roman"/>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2、废气：（</w:t>
      </w:r>
      <w:r>
        <w:rPr>
          <w:rFonts w:hint="eastAsia" w:ascii="仿宋" w:hAnsi="仿宋" w:eastAsia="仿宋" w:cs="Times New Roman"/>
          <w:sz w:val="24"/>
          <w:lang w:val="en-US" w:eastAsia="zh-CN"/>
        </w:rPr>
        <w:t>1</w:t>
      </w:r>
      <w:r>
        <w:rPr>
          <w:rFonts w:hint="eastAsia" w:ascii="仿宋" w:hAnsi="仿宋" w:eastAsia="仿宋" w:cs="Times New Roman"/>
          <w:sz w:val="24"/>
          <w:lang w:eastAsia="zh-CN"/>
        </w:rPr>
        <w:t>）食堂油烟经油烟净化器处理，</w:t>
      </w:r>
      <w:r>
        <w:rPr>
          <w:rFonts w:hint="eastAsia" w:ascii="仿宋" w:hAnsi="仿宋" w:eastAsia="仿宋" w:cs="Times New Roman"/>
          <w:sz w:val="24"/>
          <w:lang w:val="en-US" w:eastAsia="zh-CN"/>
        </w:rPr>
        <w:t>满足</w:t>
      </w:r>
      <w:r>
        <w:rPr>
          <w:rFonts w:hint="eastAsia" w:ascii="仿宋" w:hAnsi="仿宋" w:eastAsia="仿宋" w:cs="Times New Roman"/>
          <w:sz w:val="24"/>
          <w:lang w:eastAsia="zh-CN"/>
        </w:rPr>
        <w:t>《河南省餐饮业油烟污染物排放标准》（DB41/1604-2018）表1大型要求</w:t>
      </w:r>
      <w:r>
        <w:rPr>
          <w:rFonts w:hint="eastAsia" w:ascii="仿宋" w:hAnsi="仿宋" w:eastAsia="仿宋" w:cs="Times New Roman"/>
          <w:sz w:val="24"/>
          <w:lang w:val="en-US" w:eastAsia="zh-CN"/>
        </w:rPr>
        <w:t>后，通过专用排放口排放；（2）燃气锅炉采用低氮燃烧技术，满足《锅炉大气污染物排放标准》（DB41/2089-2021）表1燃气锅炉大气污染物排放限值要求后，通过62m高的排气筒排放；</w:t>
      </w:r>
      <w:r>
        <w:rPr>
          <w:rFonts w:hint="eastAsia" w:ascii="仿宋" w:hAnsi="仿宋" w:eastAsia="仿宋" w:cs="Times New Roman"/>
          <w:sz w:val="24"/>
          <w:lang w:eastAsia="zh-CN"/>
        </w:rPr>
        <w:t>（</w:t>
      </w:r>
      <w:r>
        <w:rPr>
          <w:rFonts w:hint="eastAsia" w:ascii="仿宋" w:hAnsi="仿宋" w:eastAsia="仿宋" w:cs="Times New Roman"/>
          <w:sz w:val="24"/>
          <w:lang w:val="en-US" w:eastAsia="zh-CN"/>
        </w:rPr>
        <w:t>3</w:t>
      </w:r>
      <w:r>
        <w:rPr>
          <w:rFonts w:hint="eastAsia" w:ascii="仿宋" w:hAnsi="仿宋" w:eastAsia="仿宋" w:cs="Times New Roman"/>
          <w:sz w:val="24"/>
          <w:lang w:eastAsia="zh-CN"/>
        </w:rPr>
        <w:t>）污水处理站产生的恶臭气体微负压收集，</w:t>
      </w:r>
      <w:r>
        <w:rPr>
          <w:rFonts w:hint="eastAsia" w:ascii="仿宋" w:hAnsi="仿宋" w:eastAsia="仿宋" w:cs="Times New Roman"/>
          <w:sz w:val="24"/>
          <w:lang w:val="en-US" w:eastAsia="zh-CN"/>
        </w:rPr>
        <w:t>通过</w:t>
      </w:r>
      <w:r>
        <w:rPr>
          <w:rFonts w:hint="eastAsia" w:ascii="仿宋" w:hAnsi="仿宋" w:eastAsia="仿宋" w:cs="Times New Roman"/>
          <w:sz w:val="24"/>
          <w:lang w:eastAsia="zh-CN"/>
        </w:rPr>
        <w:t>离子除臭系统处理，满足《恶臭污染物排放标准》（GB14554-93）表2恶臭污染物排放标准</w:t>
      </w:r>
      <w:r>
        <w:rPr>
          <w:rFonts w:hint="eastAsia" w:ascii="仿宋" w:hAnsi="仿宋" w:eastAsia="仿宋" w:cs="Times New Roman"/>
          <w:sz w:val="24"/>
          <w:lang w:val="en-US" w:eastAsia="zh-CN"/>
        </w:rPr>
        <w:t>后，</w:t>
      </w:r>
      <w:r>
        <w:rPr>
          <w:rFonts w:hint="eastAsia" w:ascii="仿宋" w:hAnsi="仿宋" w:eastAsia="仿宋" w:cs="Times New Roman"/>
          <w:sz w:val="24"/>
          <w:lang w:eastAsia="zh-CN"/>
        </w:rPr>
        <w:t>通过1根15m高排气筒排放</w:t>
      </w:r>
      <w:r>
        <w:rPr>
          <w:rFonts w:hint="eastAsia" w:ascii="仿宋" w:hAnsi="仿宋" w:eastAsia="仿宋" w:cs="Times New Roman"/>
          <w:sz w:val="24"/>
          <w:lang w:val="en-US" w:eastAsia="zh-CN"/>
        </w:rPr>
        <w:t>；</w:t>
      </w:r>
      <w:r>
        <w:rPr>
          <w:rFonts w:hint="eastAsia" w:ascii="仿宋" w:hAnsi="仿宋" w:eastAsia="仿宋" w:cs="Times New Roman"/>
          <w:sz w:val="24"/>
          <w:lang w:eastAsia="zh-CN"/>
        </w:rPr>
        <w:t>（</w:t>
      </w:r>
      <w:r>
        <w:rPr>
          <w:rFonts w:hint="eastAsia" w:ascii="仿宋" w:hAnsi="仿宋" w:eastAsia="仿宋" w:cs="Times New Roman"/>
          <w:sz w:val="24"/>
          <w:lang w:val="en-US" w:eastAsia="zh-CN"/>
        </w:rPr>
        <w:t>4</w:t>
      </w:r>
      <w:r>
        <w:rPr>
          <w:rFonts w:hint="eastAsia" w:ascii="仿宋" w:hAnsi="仿宋" w:eastAsia="仿宋" w:cs="Times New Roman"/>
          <w:sz w:val="24"/>
          <w:lang w:eastAsia="zh-CN"/>
        </w:rPr>
        <w:t>）柴油发电机燃油尾气经柴油颗粒捕集器+脱氮装置净化处理，满足《大气污染物综合排放标准》（GB16297-1996）表2大气污染物排放限值要求</w:t>
      </w:r>
      <w:r>
        <w:rPr>
          <w:rFonts w:hint="eastAsia" w:ascii="仿宋" w:hAnsi="仿宋" w:eastAsia="仿宋" w:cs="Times New Roman"/>
          <w:sz w:val="24"/>
          <w:lang w:val="en-US" w:eastAsia="zh-CN"/>
        </w:rPr>
        <w:t>后，</w:t>
      </w:r>
      <w:r>
        <w:rPr>
          <w:rFonts w:hint="eastAsia" w:ascii="仿宋" w:hAnsi="仿宋" w:eastAsia="仿宋" w:cs="Times New Roman"/>
          <w:sz w:val="24"/>
          <w:lang w:eastAsia="zh-CN"/>
        </w:rPr>
        <w:t>由专用烟道引至楼顶排放。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sz w:val="24"/>
          <w:lang w:val="en-US" w:eastAsia="zh-CN"/>
        </w:rPr>
      </w:pPr>
      <w:r>
        <w:rPr>
          <w:rFonts w:hint="eastAsia" w:ascii="仿宋" w:hAnsi="仿宋" w:eastAsia="仿宋" w:cs="Times New Roman"/>
          <w:sz w:val="24"/>
          <w:lang w:eastAsia="zh-CN"/>
        </w:rPr>
        <w:t>3、固废：（</w:t>
      </w:r>
      <w:r>
        <w:rPr>
          <w:rFonts w:hint="eastAsia" w:ascii="仿宋" w:hAnsi="仿宋" w:eastAsia="仿宋" w:cs="Times New Roman"/>
          <w:sz w:val="24"/>
          <w:lang w:val="en-US" w:eastAsia="zh-CN"/>
        </w:rPr>
        <w:t>1</w:t>
      </w:r>
      <w:r>
        <w:rPr>
          <w:rFonts w:hint="eastAsia" w:ascii="仿宋" w:hAnsi="仿宋" w:eastAsia="仿宋" w:cs="Times New Roman"/>
          <w:sz w:val="24"/>
          <w:lang w:eastAsia="zh-CN"/>
        </w:rPr>
        <w:t>）</w:t>
      </w:r>
      <w:r>
        <w:rPr>
          <w:rFonts w:hint="eastAsia" w:ascii="仿宋" w:hAnsi="仿宋" w:eastAsia="仿宋" w:cs="Times New Roman"/>
          <w:sz w:val="24"/>
          <w:lang w:val="en-US" w:eastAsia="zh-CN"/>
        </w:rPr>
        <w:t>一般固废暂存，定期处理，满足《一般工业固体废物贮存和填埋污染控制标准》（</w:t>
      </w:r>
      <w:r>
        <w:rPr>
          <w:rFonts w:hint="default" w:ascii="仿宋" w:hAnsi="仿宋" w:eastAsia="仿宋" w:cs="Times New Roman"/>
          <w:sz w:val="24"/>
          <w:lang w:val="en-US" w:eastAsia="zh-CN"/>
        </w:rPr>
        <w:t>GB18599-2020</w:t>
      </w:r>
      <w:r>
        <w:rPr>
          <w:rFonts w:hint="eastAsia" w:ascii="仿宋" w:hAnsi="仿宋" w:eastAsia="仿宋" w:cs="Times New Roman"/>
          <w:sz w:val="24"/>
          <w:lang w:val="en-US" w:eastAsia="zh-CN"/>
        </w:rPr>
        <w:t>）要求；（2）危险废物暂存于危废暂存间，定期交有资质单位处置，满足《危险废物贮存污染物控制标准》（</w:t>
      </w:r>
      <w:r>
        <w:rPr>
          <w:rFonts w:hint="default" w:ascii="仿宋" w:hAnsi="仿宋" w:eastAsia="仿宋" w:cs="Times New Roman"/>
          <w:sz w:val="24"/>
          <w:lang w:val="en-US" w:eastAsia="zh-CN"/>
        </w:rPr>
        <w:t>GB18597-2001</w:t>
      </w:r>
      <w:r>
        <w:rPr>
          <w:rFonts w:hint="eastAsia" w:ascii="仿宋" w:hAnsi="仿宋" w:eastAsia="仿宋" w:cs="Times New Roman"/>
          <w:sz w:val="24"/>
          <w:lang w:val="en-US" w:eastAsia="zh-CN"/>
        </w:rPr>
        <w:t>）及</w:t>
      </w:r>
      <w:r>
        <w:rPr>
          <w:rFonts w:hint="default" w:ascii="仿宋" w:hAnsi="仿宋" w:eastAsia="仿宋" w:cs="Times New Roman"/>
          <w:sz w:val="24"/>
          <w:lang w:val="en-US" w:eastAsia="zh-CN"/>
        </w:rPr>
        <w:t>2013</w:t>
      </w:r>
      <w:r>
        <w:rPr>
          <w:rFonts w:hint="eastAsia" w:ascii="仿宋" w:hAnsi="仿宋" w:eastAsia="仿宋" w:cs="Times New Roman"/>
          <w:sz w:val="24"/>
          <w:lang w:val="en-US" w:eastAsia="zh-CN"/>
        </w:rPr>
        <w:t>年修改单要求；（3）</w:t>
      </w:r>
      <w:r>
        <w:rPr>
          <w:rFonts w:hint="eastAsia" w:ascii="仿宋" w:hAnsi="仿宋" w:eastAsia="仿宋" w:cs="Times New Roman"/>
          <w:sz w:val="24"/>
          <w:lang w:eastAsia="zh-CN"/>
        </w:rPr>
        <w:t>生活垃圾交环卫部门外运处理</w:t>
      </w:r>
      <w:r>
        <w:rPr>
          <w:rFonts w:hint="eastAsia" w:ascii="仿宋" w:hAnsi="仿宋" w:eastAsia="仿宋" w:cs="Times New Roman"/>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4.噪声。选用低噪声设备，加装基础减振、隔声、消声等处理措施，满足《工业企业厂界环境噪声排放标准》（GB12348-2008）</w:t>
      </w:r>
      <w:r>
        <w:rPr>
          <w:rFonts w:hint="eastAsia" w:ascii="仿宋" w:hAnsi="仿宋" w:eastAsia="仿宋" w:cs="Times New Roman"/>
          <w:sz w:val="24"/>
          <w:lang w:val="en-US" w:eastAsia="zh-CN"/>
        </w:rPr>
        <w:t>2</w:t>
      </w:r>
      <w:r>
        <w:rPr>
          <w:rFonts w:hint="eastAsia" w:ascii="仿宋" w:hAnsi="仿宋" w:eastAsia="仿宋" w:cs="Times New Roman"/>
          <w:sz w:val="24"/>
          <w:lang w:eastAsia="zh-CN"/>
        </w:rPr>
        <w:t>类</w:t>
      </w:r>
      <w:r>
        <w:rPr>
          <w:rFonts w:hint="eastAsia" w:ascii="仿宋" w:hAnsi="仿宋" w:eastAsia="仿宋" w:cs="Times New Roman"/>
          <w:sz w:val="24"/>
          <w:lang w:val="en-US" w:eastAsia="zh-CN"/>
        </w:rPr>
        <w:t>、4类</w:t>
      </w:r>
      <w:r>
        <w:rPr>
          <w:rFonts w:hint="eastAsia" w:ascii="仿宋" w:hAnsi="仿宋" w:eastAsia="仿宋" w:cs="Times New Roman"/>
          <w:sz w:val="24"/>
          <w:lang w:eastAsia="zh-CN"/>
        </w:rPr>
        <w:t>标准要求。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四、项目建成后，按相关规定及时进行项目竣工环境保护验收。项目建设及运行过程中，由民权县环境保护局负责项目的日常环境管理工作。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eastAsia="zh-CN"/>
        </w:rPr>
        <w:t>六、对此批复若存有异议，可自该文下达之日起60日内向河南省环保厅、商丘市环保局或民权县人民政府申请复议，逾期复议无效。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80" w:lineRule="exact"/>
        <w:ind w:firstLine="7440" w:firstLineChars="3100"/>
        <w:textAlignment w:val="auto"/>
        <w:rPr>
          <w:rFonts w:hint="eastAsia" w:ascii="仿宋"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6000" w:firstLineChars="25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80" w:lineRule="exact"/>
        <w:ind w:firstLine="5280" w:firstLineChars="2200"/>
        <w:textAlignment w:val="auto"/>
        <w:rPr>
          <w:rFonts w:hint="eastAsia" w:ascii="仿宋" w:hAnsi="仿宋" w:eastAsia="仿宋" w:cs="Times New Roman"/>
          <w:color w:val="auto"/>
          <w:sz w:val="24"/>
          <w:lang w:eastAsia="zh-CN"/>
        </w:rPr>
      </w:pPr>
      <w:bookmarkStart w:id="0" w:name="_GoBack"/>
      <w:bookmarkEnd w:id="0"/>
      <w:r>
        <w:rPr>
          <w:rFonts w:hint="eastAsia" w:ascii="仿宋" w:hAnsi="仿宋" w:eastAsia="仿宋" w:cs="Times New Roman"/>
          <w:color w:val="auto"/>
          <w:sz w:val="24"/>
          <w:lang w:eastAsia="zh-CN"/>
        </w:rPr>
        <w:t>202</w:t>
      </w:r>
      <w:r>
        <w:rPr>
          <w:rFonts w:hint="eastAsia" w:ascii="仿宋" w:hAnsi="仿宋" w:eastAsia="仿宋" w:cs="Times New Roman"/>
          <w:color w:val="auto"/>
          <w:sz w:val="24"/>
          <w:lang w:val="en-US" w:eastAsia="zh-CN"/>
        </w:rPr>
        <w:t>2</w:t>
      </w:r>
      <w:r>
        <w:rPr>
          <w:rFonts w:hint="eastAsia" w:ascii="仿宋" w:hAnsi="仿宋" w:eastAsia="仿宋" w:cs="Times New Roman"/>
          <w:color w:val="auto"/>
          <w:sz w:val="24"/>
          <w:lang w:eastAsia="zh-CN"/>
        </w:rPr>
        <w:t>年</w:t>
      </w:r>
      <w:r>
        <w:rPr>
          <w:rFonts w:hint="eastAsia" w:ascii="仿宋" w:hAnsi="仿宋" w:eastAsia="仿宋" w:cs="Times New Roman"/>
          <w:color w:val="auto"/>
          <w:sz w:val="24"/>
          <w:lang w:val="en-US" w:eastAsia="zh-CN"/>
        </w:rPr>
        <w:t>10</w:t>
      </w:r>
      <w:r>
        <w:rPr>
          <w:rFonts w:hint="eastAsia" w:ascii="仿宋" w:hAnsi="仿宋" w:eastAsia="仿宋" w:cs="Times New Roman"/>
          <w:color w:val="auto"/>
          <w:sz w:val="24"/>
          <w:lang w:eastAsia="zh-CN"/>
        </w:rPr>
        <w:t>月</w:t>
      </w:r>
      <w:r>
        <w:rPr>
          <w:rFonts w:hint="eastAsia" w:ascii="仿宋" w:hAnsi="仿宋" w:eastAsia="仿宋" w:cs="Times New Roman"/>
          <w:color w:val="auto"/>
          <w:sz w:val="24"/>
          <w:lang w:val="en-US" w:eastAsia="zh-CN"/>
        </w:rPr>
        <w:t>24</w:t>
      </w:r>
      <w:r>
        <w:rPr>
          <w:rFonts w:hint="eastAsia" w:ascii="仿宋" w:hAnsi="仿宋" w:eastAsia="仿宋" w:cs="Times New Roman"/>
          <w:color w:val="auto"/>
          <w:sz w:val="24"/>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0NGUwZWRhZTVhZmE4MjA4MmQyYTUwNjg2MGE2OWMifQ=="/>
  </w:docVars>
  <w:rsids>
    <w:rsidRoot w:val="006F4B75"/>
    <w:rsid w:val="00256528"/>
    <w:rsid w:val="002B7924"/>
    <w:rsid w:val="004D1488"/>
    <w:rsid w:val="00512EDA"/>
    <w:rsid w:val="005E118B"/>
    <w:rsid w:val="006F4B75"/>
    <w:rsid w:val="009D672D"/>
    <w:rsid w:val="12083694"/>
    <w:rsid w:val="1C6719F3"/>
    <w:rsid w:val="2CC357A4"/>
    <w:rsid w:val="2E86095A"/>
    <w:rsid w:val="3A8D7CF2"/>
    <w:rsid w:val="3F5A7B0B"/>
    <w:rsid w:val="4E5B0100"/>
    <w:rsid w:val="50E11022"/>
    <w:rsid w:val="6EC124CB"/>
    <w:rsid w:val="70686F78"/>
    <w:rsid w:val="72D6768A"/>
    <w:rsid w:val="7D383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0"/>
    </w:rPr>
  </w:style>
  <w:style w:type="paragraph" w:styleId="3">
    <w:name w:val="Body Text"/>
    <w:basedOn w:val="1"/>
    <w:link w:val="9"/>
    <w:qFormat/>
    <w:uiPriority w:val="0"/>
    <w:pPr>
      <w:jc w:val="center"/>
    </w:pPr>
    <w:rPr>
      <w:rFonts w:ascii="华文中宋" w:eastAsia="华文中宋"/>
      <w:b/>
      <w:bCs/>
      <w:sz w:val="44"/>
      <w:szCs w:val="36"/>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正文文本 Char"/>
    <w:basedOn w:val="8"/>
    <w:link w:val="3"/>
    <w:qFormat/>
    <w:uiPriority w:val="0"/>
    <w:rPr>
      <w:rFonts w:ascii="华文中宋" w:hAnsi="Times New Roman" w:eastAsia="华文中宋" w:cs="Times New Roman"/>
      <w:b/>
      <w:bCs/>
      <w:sz w:val="44"/>
      <w:szCs w:val="36"/>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1455</Words>
  <Characters>1567</Characters>
  <Lines>13</Lines>
  <Paragraphs>3</Paragraphs>
  <TotalTime>1</TotalTime>
  <ScaleCrop>false</ScaleCrop>
  <LinksUpToDate>false</LinksUpToDate>
  <CharactersWithSpaces>1607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2021-09-16T02:04:00Z</dcterms:created>
  <dc:creator>wmk</dc:creator>
  <cp:lastModifiedBy>南是故乡</cp:lastModifiedBy>
  <dcterms:modified xsi:type="dcterms:W3CDTF">2022-10-24T06:23:02Z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DC17591B5AD246EEA15FA62885C7D81A</vt:lpwstr>
  </property>
</Properties>
</file>