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黑体"/>
          <w:b/>
          <w:color w:val="auto"/>
          <w:spacing w:val="-14"/>
          <w:sz w:val="32"/>
          <w:szCs w:val="32"/>
          <w:lang w:val="en-US" w:eastAsia="zh-CN"/>
        </w:rPr>
      </w:pPr>
      <w:r>
        <w:rPr>
          <w:rFonts w:hint="eastAsia" w:ascii="宋体" w:hAnsi="宋体" w:eastAsia="宋体" w:cs="宋体"/>
          <w:b w:val="0"/>
          <w:bCs/>
          <w:sz w:val="24"/>
          <w:szCs w:val="24"/>
          <w:lang w:val="en-US" w:eastAsia="zh-CN"/>
        </w:rPr>
        <w:t>审批意见                                              民环审[202</w:t>
      </w:r>
      <w:r>
        <w:rPr>
          <w:rFonts w:hint="eastAsia" w:ascii="宋体" w:hAnsi="宋体" w:cs="宋体"/>
          <w:b w:val="0"/>
          <w:bCs/>
          <w:sz w:val="24"/>
          <w:szCs w:val="24"/>
          <w:lang w:val="en-US" w:eastAsia="zh-CN"/>
        </w:rPr>
        <w:t>2</w:t>
      </w:r>
      <w:r>
        <w:rPr>
          <w:rFonts w:hint="eastAsia" w:ascii="宋体" w:hAnsi="宋体" w:eastAsia="宋体" w:cs="宋体"/>
          <w:b w:val="0"/>
          <w:bCs/>
          <w:sz w:val="24"/>
          <w:szCs w:val="24"/>
          <w:lang w:val="en-US" w:eastAsia="zh-CN"/>
        </w:rPr>
        <w:t>]</w:t>
      </w:r>
      <w:r>
        <w:rPr>
          <w:rFonts w:hint="eastAsia" w:ascii="宋体" w:hAnsi="宋体" w:eastAsia="宋体" w:cs="宋体"/>
          <w:b w:val="0"/>
          <w:bCs/>
          <w:color w:val="auto"/>
          <w:sz w:val="24"/>
          <w:szCs w:val="24"/>
          <w:lang w:val="en-US" w:eastAsia="zh-CN"/>
        </w:rPr>
        <w:t>第</w:t>
      </w:r>
      <w:r>
        <w:rPr>
          <w:rFonts w:hint="eastAsia" w:ascii="宋体" w:hAnsi="宋体" w:cs="宋体"/>
          <w:b w:val="0"/>
          <w:bCs/>
          <w:color w:val="auto"/>
          <w:sz w:val="24"/>
          <w:szCs w:val="24"/>
          <w:lang w:val="en-US" w:eastAsia="zh-CN"/>
        </w:rPr>
        <w:t>030</w:t>
      </w:r>
      <w:r>
        <w:rPr>
          <w:rFonts w:hint="eastAsia" w:ascii="宋体" w:hAnsi="宋体" w:eastAsia="宋体" w:cs="宋体"/>
          <w:b w:val="0"/>
          <w:bCs/>
          <w:color w:val="auto"/>
          <w:sz w:val="24"/>
          <w:szCs w:val="24"/>
          <w:lang w:val="en-US" w:eastAsia="zh-CN"/>
        </w:rPr>
        <w:t>号</w:t>
      </w:r>
    </w:p>
    <w:p>
      <w:pPr>
        <w:spacing w:line="360" w:lineRule="auto"/>
        <w:jc w:val="center"/>
        <w:rPr>
          <w:rFonts w:hint="eastAsia" w:eastAsia="黑体"/>
          <w:b/>
          <w:spacing w:val="-14"/>
          <w:sz w:val="32"/>
          <w:szCs w:val="32"/>
          <w:lang w:val="en-US" w:eastAsia="zh-CN"/>
        </w:rPr>
      </w:pPr>
    </w:p>
    <w:p>
      <w:pPr>
        <w:spacing w:line="360" w:lineRule="auto"/>
        <w:jc w:val="center"/>
        <w:rPr>
          <w:rFonts w:eastAsia="黑体"/>
          <w:b/>
          <w:spacing w:val="-14"/>
          <w:sz w:val="32"/>
          <w:szCs w:val="32"/>
        </w:rPr>
      </w:pPr>
    </w:p>
    <w:p>
      <w:pPr>
        <w:spacing w:line="360" w:lineRule="auto"/>
        <w:jc w:val="center"/>
        <w:rPr>
          <w:rFonts w:hint="eastAsia" w:asciiTheme="majorEastAsia" w:hAnsiTheme="majorEastAsia" w:eastAsiaTheme="majorEastAsia" w:cstheme="majorEastAsia"/>
          <w:b/>
          <w:spacing w:val="-14"/>
          <w:sz w:val="36"/>
          <w:szCs w:val="36"/>
        </w:rPr>
      </w:pPr>
      <w:r>
        <w:rPr>
          <w:rFonts w:hint="eastAsia" w:asciiTheme="majorEastAsia" w:hAnsiTheme="majorEastAsia" w:eastAsiaTheme="majorEastAsia" w:cstheme="majorEastAsia"/>
          <w:b/>
          <w:spacing w:val="-14"/>
          <w:sz w:val="36"/>
          <w:szCs w:val="36"/>
        </w:rPr>
        <w:t>关</w:t>
      </w:r>
      <w:r>
        <w:rPr>
          <w:rFonts w:hint="eastAsia" w:asciiTheme="majorEastAsia" w:hAnsiTheme="majorEastAsia" w:eastAsiaTheme="majorEastAsia" w:cstheme="majorEastAsia"/>
          <w:b/>
          <w:spacing w:val="-14"/>
          <w:sz w:val="36"/>
          <w:szCs w:val="36"/>
          <w:lang w:eastAsia="zh-CN"/>
        </w:rPr>
        <w:t>于河南金孚顿石油新技术发展有限公司年产10万吨重晶石粉项目</w:t>
      </w:r>
      <w:r>
        <w:rPr>
          <w:rFonts w:hint="eastAsia" w:asciiTheme="majorEastAsia" w:hAnsiTheme="majorEastAsia" w:eastAsiaTheme="majorEastAsia" w:cstheme="majorEastAsia"/>
          <w:b/>
          <w:spacing w:val="-14"/>
          <w:sz w:val="36"/>
          <w:szCs w:val="36"/>
        </w:rPr>
        <w:t>环境影响报告表的批复</w:t>
      </w:r>
    </w:p>
    <w:p>
      <w:pPr>
        <w:spacing w:line="360" w:lineRule="auto"/>
        <w:jc w:val="center"/>
        <w:rPr>
          <w:sz w:val="28"/>
          <w:szCs w:val="28"/>
        </w:rPr>
      </w:pP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河南金孚顿石油新技术发展有限公司：</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eastAsia="zh-CN"/>
        </w:rPr>
        <w:t>你公司报送的由</w:t>
      </w:r>
      <w:r>
        <w:rPr>
          <w:rFonts w:hint="eastAsia" w:ascii="仿宋" w:hAnsi="仿宋" w:eastAsia="仿宋" w:cs="Times New Roman"/>
          <w:color w:val="auto"/>
          <w:sz w:val="24"/>
          <w:lang w:val="en-US" w:eastAsia="zh-CN"/>
        </w:rPr>
        <w:t>河南省卫然环保科技有限公司</w:t>
      </w:r>
      <w:r>
        <w:rPr>
          <w:rFonts w:hint="eastAsia" w:ascii="仿宋" w:hAnsi="仿宋" w:eastAsia="仿宋" w:cs="Times New Roman"/>
          <w:color w:val="auto"/>
          <w:sz w:val="24"/>
          <w:lang w:eastAsia="zh-CN"/>
        </w:rPr>
        <w:t>编制完成的《河南金孚顿石油新技术发展有限公司年产10万吨重晶石粉项目环境影响报告表（报批版）》（以下简称“报告表”）已收悉。项目拟审批事项已在民权县政府网站公示期满，无异议。经研究，批复如下：</w:t>
      </w:r>
      <w:r>
        <w:rPr>
          <w:rFonts w:hint="eastAsia" w:ascii="仿宋" w:hAnsi="仿宋" w:eastAsia="仿宋" w:cs="Times New Roman"/>
          <w:color w:val="auto"/>
          <w:sz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一、《报告表》内容符合国家有关法律法规要求和建设项目环境管理规定，评价结论可信，我局批准该《报告表》。原则同意你公司按照《报告表》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二、你公司应向社会主动公开经批准的《报告表》，并接受相关方的咨询。</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三、你公司应全面落实《报告表》提出的各项目环境保护措施，确保各项环境保护设施与主体工程同时设计、同时施工、同时投入使用，确保各项污染物达标排放。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（一）向设计单位提供《报告表》和本批复文件，确保项目设计按照环境保护设计规范要求，落实防治环境污染和生态破坏的措施以及环保设施投资概算。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（二）依据《报告表》和本批复文件，对项目建设过程中产生的废水、废气、固体废物、噪声、震动等污染，以及因施工对自然、生态环境造成的破坏，采取相应的防治措施。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（三）项目运行时，外排污染物应满足以下要求：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auto"/>
          <w:sz w:val="24"/>
          <w:lang w:val="en-US" w:eastAsia="zh-CN"/>
        </w:rPr>
      </w:pPr>
      <w:r>
        <w:rPr>
          <w:rFonts w:hint="default" w:ascii="仿宋" w:hAnsi="仿宋" w:eastAsia="仿宋" w:cs="Times New Roman"/>
          <w:color w:val="auto"/>
          <w:sz w:val="24"/>
          <w:lang w:eastAsia="zh-CN"/>
        </w:rPr>
        <w:t>1、废水：</w:t>
      </w:r>
      <w:r>
        <w:rPr>
          <w:rFonts w:hint="eastAsia" w:ascii="仿宋" w:hAnsi="仿宋" w:eastAsia="仿宋" w:cs="Times New Roman"/>
          <w:color w:val="auto"/>
          <w:sz w:val="24"/>
          <w:lang w:val="en-US" w:eastAsia="zh-CN"/>
        </w:rPr>
        <w:t>生活污水经化粪池预处理后</w:t>
      </w:r>
      <w:r>
        <w:rPr>
          <w:rFonts w:hint="eastAsia" w:ascii="仿宋" w:hAnsi="仿宋" w:eastAsia="仿宋" w:cs="Times New Roman"/>
          <w:color w:val="auto"/>
          <w:sz w:val="24"/>
          <w:lang w:eastAsia="zh-CN"/>
        </w:rPr>
        <w:t>由附</w:t>
      </w:r>
      <w:r>
        <w:rPr>
          <w:rFonts w:hint="default" w:ascii="仿宋" w:hAnsi="仿宋" w:eastAsia="仿宋" w:cs="Times New Roman"/>
          <w:color w:val="auto"/>
          <w:sz w:val="24"/>
          <w:lang w:eastAsia="zh-CN"/>
        </w:rPr>
        <w:t>近村民用密封农罐车运走肥田，不</w:t>
      </w:r>
      <w:r>
        <w:rPr>
          <w:rFonts w:hint="eastAsia" w:ascii="仿宋" w:hAnsi="仿宋" w:eastAsia="仿宋" w:cs="Times New Roman"/>
          <w:color w:val="auto"/>
          <w:sz w:val="24"/>
          <w:lang w:val="en-US" w:eastAsia="zh-CN"/>
        </w:rPr>
        <w:t>得随意</w:t>
      </w:r>
      <w:r>
        <w:rPr>
          <w:rFonts w:hint="default" w:ascii="仿宋" w:hAnsi="仿宋" w:eastAsia="仿宋" w:cs="Times New Roman"/>
          <w:color w:val="auto"/>
          <w:sz w:val="24"/>
          <w:lang w:eastAsia="zh-CN"/>
        </w:rPr>
        <w:t>外排。</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Times New Roman"/>
          <w:color w:val="auto"/>
          <w:sz w:val="24"/>
          <w:lang w:val="en-US" w:eastAsia="zh-CN"/>
        </w:rPr>
      </w:pPr>
      <w:r>
        <w:rPr>
          <w:rFonts w:hint="default" w:ascii="仿宋" w:hAnsi="仿宋" w:eastAsia="仿宋" w:cs="Times New Roman"/>
          <w:color w:val="auto"/>
          <w:sz w:val="24"/>
          <w:lang w:eastAsia="zh-CN"/>
        </w:rPr>
        <w:t>2、废气：</w:t>
      </w:r>
      <w:r>
        <w:rPr>
          <w:rFonts w:hint="eastAsia" w:ascii="仿宋" w:hAnsi="仿宋" w:eastAsia="仿宋" w:cs="Times New Roman"/>
          <w:color w:val="auto"/>
          <w:sz w:val="24"/>
          <w:lang w:val="en-US" w:eastAsia="zh-CN"/>
        </w:rPr>
        <w:t>生产</w:t>
      </w:r>
      <w:r>
        <w:rPr>
          <w:rFonts w:hint="eastAsia" w:ascii="仿宋" w:hAnsi="仿宋" w:eastAsia="仿宋" w:cs="Times New Roman"/>
          <w:color w:val="auto"/>
          <w:sz w:val="24"/>
          <w:lang w:eastAsia="zh-CN"/>
        </w:rPr>
        <w:t>工序产生的粉尘经袋式除尘器处理，满足《大气污染物综合排放标准》（GB16297-1996）表2二级标准要求</w:t>
      </w:r>
      <w:r>
        <w:rPr>
          <w:rFonts w:hint="eastAsia" w:ascii="仿宋" w:hAnsi="仿宋" w:eastAsia="仿宋" w:cs="Times New Roman"/>
          <w:color w:val="auto"/>
          <w:sz w:val="24"/>
          <w:lang w:val="en-US" w:eastAsia="zh-CN"/>
        </w:rPr>
        <w:t>后，通过</w:t>
      </w:r>
      <w:r>
        <w:rPr>
          <w:rFonts w:hint="eastAsia" w:ascii="仿宋" w:hAnsi="仿宋" w:eastAsia="仿宋" w:cs="Times New Roman"/>
          <w:color w:val="auto"/>
          <w:sz w:val="24"/>
          <w:lang w:eastAsia="zh-CN"/>
        </w:rPr>
        <w:t>15m高排气筒排放。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Times New Roman"/>
          <w:color w:val="auto"/>
          <w:sz w:val="24"/>
          <w:lang w:eastAsia="zh-CN"/>
        </w:rPr>
      </w:pPr>
      <w:r>
        <w:rPr>
          <w:rFonts w:hint="default" w:ascii="仿宋" w:hAnsi="仿宋" w:eastAsia="仿宋" w:cs="Times New Roman"/>
          <w:color w:val="auto"/>
          <w:sz w:val="24"/>
          <w:lang w:val="en-US" w:eastAsia="zh-CN"/>
        </w:rPr>
        <w:t>3、噪声：</w:t>
      </w:r>
      <w:r>
        <w:rPr>
          <w:rFonts w:hint="eastAsia" w:ascii="仿宋" w:hAnsi="仿宋" w:eastAsia="仿宋" w:cs="Times New Roman"/>
          <w:color w:val="auto"/>
          <w:sz w:val="24"/>
          <w:lang w:val="en-US" w:eastAsia="zh-CN"/>
        </w:rPr>
        <w:t>选用低噪声设备，采取减振、隔声等降噪措施对设备噪声进行控制，厂界噪声满足《工业企业厂界环境噪声排放标准》（</w:t>
      </w:r>
      <w:r>
        <w:rPr>
          <w:rFonts w:hint="default" w:ascii="仿宋" w:hAnsi="仿宋" w:eastAsia="仿宋" w:cs="Times New Roman"/>
          <w:color w:val="auto"/>
          <w:sz w:val="24"/>
          <w:lang w:val="en-US" w:eastAsia="zh-CN"/>
        </w:rPr>
        <w:t>GB12348-2008</w:t>
      </w:r>
      <w:r>
        <w:rPr>
          <w:rFonts w:hint="eastAsia" w:ascii="仿宋" w:hAnsi="仿宋" w:eastAsia="仿宋" w:cs="Times New Roman"/>
          <w:color w:val="auto"/>
          <w:sz w:val="24"/>
          <w:lang w:val="en-US" w:eastAsia="zh-CN"/>
        </w:rPr>
        <w:t>）2类标准要求。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auto"/>
          <w:sz w:val="24"/>
          <w:lang w:val="en-US" w:eastAsia="zh-CN"/>
        </w:rPr>
      </w:pPr>
      <w:r>
        <w:rPr>
          <w:rFonts w:hint="default" w:ascii="仿宋" w:hAnsi="仿宋" w:eastAsia="仿宋" w:cs="Times New Roman"/>
          <w:color w:val="auto"/>
          <w:sz w:val="24"/>
          <w:lang w:eastAsia="zh-CN"/>
        </w:rPr>
        <w:t>4、固废</w:t>
      </w:r>
      <w:r>
        <w:rPr>
          <w:rFonts w:hint="default" w:ascii="仿宋" w:hAnsi="仿宋" w:eastAsia="仿宋" w:cs="Times New Roman"/>
          <w:color w:val="auto"/>
          <w:sz w:val="24"/>
          <w:lang w:val="en-US" w:eastAsia="zh-CN"/>
        </w:rPr>
        <w:t>：</w:t>
      </w:r>
      <w:r>
        <w:rPr>
          <w:rFonts w:hint="eastAsia" w:ascii="仿宋" w:hAnsi="仿宋" w:eastAsia="仿宋" w:cs="Times New Roman"/>
          <w:color w:val="auto"/>
          <w:sz w:val="24"/>
          <w:lang w:val="en-US" w:eastAsia="zh-CN"/>
        </w:rPr>
        <w:t>（1）一般固体废物收集暂存，定期外售，满足《一般工业固体废物贮存、处置场污染控制标准》（GB18599-2020）；（2）生活垃圾厂内垃圾箱暂存，定期交由环卫部门统一处理。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四、项目建成后，按相关规定及时进行项目竣工环境保护验收。项目建设及运行过程中，由民权县环境保护局负责项目的日常环境管理工作。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eastAsia="zh-CN"/>
        </w:rPr>
        <w:t>六、对此批复若存有异议，可自该文下达之日起60日内向河南省环保厅、商丘市环保局或民权县人民政府申请复议，逾期复议无效。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auto"/>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7440" w:firstLineChars="3100"/>
        <w:textAlignment w:val="auto"/>
        <w:rPr>
          <w:rFonts w:hint="eastAsia" w:ascii="仿宋" w:hAnsi="仿宋" w:eastAsia="仿宋" w:cs="Times New Roman"/>
          <w:color w:val="auto"/>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7440" w:firstLineChars="3100"/>
        <w:textAlignment w:val="auto"/>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480" w:lineRule="exact"/>
        <w:ind w:firstLine="6720" w:firstLineChars="2800"/>
        <w:textAlignment w:val="auto"/>
        <w:rPr>
          <w:rFonts w:hint="eastAsia" w:ascii="仿宋" w:hAnsi="仿宋" w:eastAsia="仿宋" w:cs="Times New Roman"/>
          <w:color w:val="FF0000"/>
          <w:sz w:val="24"/>
          <w:lang w:eastAsia="zh-CN"/>
        </w:rPr>
      </w:pPr>
      <w:r>
        <w:rPr>
          <w:rFonts w:hint="eastAsia" w:ascii="仿宋" w:hAnsi="仿宋" w:eastAsia="仿宋" w:cs="Times New Roman"/>
          <w:color w:val="auto"/>
          <w:sz w:val="24"/>
          <w:lang w:eastAsia="zh-CN"/>
        </w:rPr>
        <w:t>202</w:t>
      </w:r>
      <w:r>
        <w:rPr>
          <w:rFonts w:hint="eastAsia" w:ascii="仿宋" w:hAnsi="仿宋" w:eastAsia="仿宋" w:cs="Times New Roman"/>
          <w:color w:val="auto"/>
          <w:sz w:val="24"/>
          <w:lang w:val="en-US" w:eastAsia="zh-CN"/>
        </w:rPr>
        <w:t>2</w:t>
      </w:r>
      <w:r>
        <w:rPr>
          <w:rFonts w:hint="eastAsia" w:ascii="仿宋" w:hAnsi="仿宋" w:eastAsia="仿宋" w:cs="Times New Roman"/>
          <w:color w:val="auto"/>
          <w:sz w:val="24"/>
          <w:lang w:eastAsia="zh-CN"/>
        </w:rPr>
        <w:t>年</w:t>
      </w:r>
      <w:r>
        <w:rPr>
          <w:rFonts w:hint="eastAsia" w:ascii="仿宋" w:hAnsi="仿宋" w:eastAsia="仿宋" w:cs="Times New Roman"/>
          <w:color w:val="auto"/>
          <w:sz w:val="24"/>
          <w:lang w:val="en-US" w:eastAsia="zh-CN"/>
        </w:rPr>
        <w:t>12</w:t>
      </w:r>
      <w:r>
        <w:rPr>
          <w:rFonts w:hint="eastAsia" w:ascii="仿宋" w:hAnsi="仿宋" w:eastAsia="仿宋" w:cs="Times New Roman"/>
          <w:color w:val="auto"/>
          <w:sz w:val="24"/>
          <w:lang w:eastAsia="zh-CN"/>
        </w:rPr>
        <w:t>月</w:t>
      </w:r>
      <w:r>
        <w:rPr>
          <w:rFonts w:hint="eastAsia" w:ascii="仿宋" w:hAnsi="仿宋" w:eastAsia="仿宋" w:cs="Times New Roman"/>
          <w:color w:val="auto"/>
          <w:sz w:val="24"/>
          <w:lang w:val="en-US" w:eastAsia="zh-CN"/>
        </w:rPr>
        <w:t>1</w:t>
      </w:r>
      <w:r>
        <w:rPr>
          <w:rFonts w:hint="eastAsia" w:ascii="仿宋" w:hAnsi="仿宋" w:eastAsia="仿宋" w:cs="Times New Roman"/>
          <w:color w:val="auto"/>
          <w:sz w:val="24"/>
          <w:lang w:eastAsia="zh-CN"/>
        </w:rPr>
        <w:t>日</w:t>
      </w:r>
    </w:p>
    <w:p>
      <w:bookmarkStart w:id="0" w:name="_GoBack"/>
      <w:bookmarkEnd w:id="0"/>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NGUwZWRhZTVhZmE4MjA4MmQyYTUwNjg2MGE2OWM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C211F"/>
    <w:rsid w:val="00B71152"/>
    <w:rsid w:val="00B82A97"/>
    <w:rsid w:val="00B95A86"/>
    <w:rsid w:val="00C00B05"/>
    <w:rsid w:val="00C33CD7"/>
    <w:rsid w:val="00C60A64"/>
    <w:rsid w:val="00CE5BB2"/>
    <w:rsid w:val="00D277F4"/>
    <w:rsid w:val="00D476BE"/>
    <w:rsid w:val="00D83101"/>
    <w:rsid w:val="00DC090E"/>
    <w:rsid w:val="00DC4F51"/>
    <w:rsid w:val="00DE75C1"/>
    <w:rsid w:val="00DF3F1F"/>
    <w:rsid w:val="00DF5060"/>
    <w:rsid w:val="00E02BC4"/>
    <w:rsid w:val="00E50552"/>
    <w:rsid w:val="00E75163"/>
    <w:rsid w:val="02022B0D"/>
    <w:rsid w:val="02623E47"/>
    <w:rsid w:val="02816CCE"/>
    <w:rsid w:val="02B26D96"/>
    <w:rsid w:val="02F72450"/>
    <w:rsid w:val="037338AD"/>
    <w:rsid w:val="04ED7FD0"/>
    <w:rsid w:val="06600C79"/>
    <w:rsid w:val="0A6062C7"/>
    <w:rsid w:val="0A607E53"/>
    <w:rsid w:val="0AB063A2"/>
    <w:rsid w:val="0EEC1973"/>
    <w:rsid w:val="114105BA"/>
    <w:rsid w:val="117E6080"/>
    <w:rsid w:val="1414714B"/>
    <w:rsid w:val="15BA47FB"/>
    <w:rsid w:val="17620A24"/>
    <w:rsid w:val="19E842F0"/>
    <w:rsid w:val="1A1C5430"/>
    <w:rsid w:val="1B7C72FE"/>
    <w:rsid w:val="1BB76E65"/>
    <w:rsid w:val="1DD91315"/>
    <w:rsid w:val="1FFC7619"/>
    <w:rsid w:val="22EF3C30"/>
    <w:rsid w:val="2340208E"/>
    <w:rsid w:val="23FF584D"/>
    <w:rsid w:val="258A7653"/>
    <w:rsid w:val="260B672B"/>
    <w:rsid w:val="26712C1A"/>
    <w:rsid w:val="26A57FF8"/>
    <w:rsid w:val="28866D03"/>
    <w:rsid w:val="299A67A7"/>
    <w:rsid w:val="2AB73F88"/>
    <w:rsid w:val="2BC43604"/>
    <w:rsid w:val="2FCE5C86"/>
    <w:rsid w:val="30077F63"/>
    <w:rsid w:val="341F01B7"/>
    <w:rsid w:val="34765BF2"/>
    <w:rsid w:val="34791C6D"/>
    <w:rsid w:val="358406CB"/>
    <w:rsid w:val="38ED1EDE"/>
    <w:rsid w:val="3D8A054E"/>
    <w:rsid w:val="3DA03245"/>
    <w:rsid w:val="405F0B00"/>
    <w:rsid w:val="42AB0C22"/>
    <w:rsid w:val="44230431"/>
    <w:rsid w:val="444306B4"/>
    <w:rsid w:val="4537679D"/>
    <w:rsid w:val="45572A7F"/>
    <w:rsid w:val="4605121C"/>
    <w:rsid w:val="48382F58"/>
    <w:rsid w:val="4BFA65D9"/>
    <w:rsid w:val="4F8B6063"/>
    <w:rsid w:val="51ED6BE4"/>
    <w:rsid w:val="534E1882"/>
    <w:rsid w:val="56220DA3"/>
    <w:rsid w:val="57690E03"/>
    <w:rsid w:val="580B46CD"/>
    <w:rsid w:val="5ACA3972"/>
    <w:rsid w:val="5C115B42"/>
    <w:rsid w:val="5C2F1F3C"/>
    <w:rsid w:val="5D8D4615"/>
    <w:rsid w:val="5FA42829"/>
    <w:rsid w:val="5FA7072F"/>
    <w:rsid w:val="620F0E3C"/>
    <w:rsid w:val="638A6274"/>
    <w:rsid w:val="63C17BCC"/>
    <w:rsid w:val="64D876DB"/>
    <w:rsid w:val="68FA0808"/>
    <w:rsid w:val="6A676BAB"/>
    <w:rsid w:val="6AA64C8B"/>
    <w:rsid w:val="78B92E9C"/>
    <w:rsid w:val="7B646353"/>
    <w:rsid w:val="7D045640"/>
    <w:rsid w:val="7E716A49"/>
    <w:rsid w:val="7E7C69F3"/>
    <w:rsid w:val="7EAB3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Indent"/>
    <w:basedOn w:val="1"/>
    <w:next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0"/>
      <w:lang w:val="en-US" w:eastAsia="zh-CN" w:bidi="ar"/>
    </w:rPr>
  </w:style>
  <w:style w:type="paragraph" w:styleId="4">
    <w:name w:val="Block Text"/>
    <w:basedOn w:val="1"/>
    <w:next w:val="1"/>
    <w:qFormat/>
    <w:uiPriority w:val="0"/>
    <w:pPr>
      <w:snapToGrid w:val="0"/>
      <w:spacing w:before="100" w:beforeAutospacing="1" w:after="100" w:afterAutospacing="1" w:line="408" w:lineRule="auto"/>
      <w:ind w:left="-113" w:right="-510" w:firstLine="510"/>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0"/>
    <w:rPr>
      <w:kern w:val="2"/>
      <w:sz w:val="18"/>
      <w:szCs w:val="18"/>
    </w:rPr>
  </w:style>
  <w:style w:type="character" w:customStyle="1" w:styleId="11">
    <w:name w:val="页脚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1170</Words>
  <Characters>1221</Characters>
  <Lines>10</Lines>
  <Paragraphs>3</Paragraphs>
  <TotalTime>4</TotalTime>
  <ScaleCrop>false</ScaleCrop>
  <LinksUpToDate>false</LinksUpToDate>
  <CharactersWithSpaces>1268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南是故乡</cp:lastModifiedBy>
  <dcterms:modified xsi:type="dcterms:W3CDTF">2022-12-01T00:20:45Z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7954AFA1BC0E49D6B30463080F4C3D36</vt:lpwstr>
  </property>
</Properties>
</file>