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spacing w:val="-14"/>
          <w:sz w:val="32"/>
          <w:szCs w:val="32"/>
          <w:lang w:val="en-US" w:eastAsia="zh-CN"/>
        </w:rPr>
      </w:pPr>
      <w:r>
        <w:rPr>
          <w:rFonts w:hint="eastAsia" w:ascii="宋体" w:hAnsi="宋体" w:eastAsia="宋体" w:cs="宋体"/>
          <w:b w:val="0"/>
          <w:bCs/>
          <w:sz w:val="24"/>
          <w:szCs w:val="24"/>
          <w:lang w:val="en-US" w:eastAsia="zh-CN"/>
        </w:rPr>
        <w:t>审批意见                                              民环审[202</w:t>
      </w: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lang w:val="en-US" w:eastAsia="zh-CN"/>
        </w:rPr>
        <w:t>004</w:t>
      </w:r>
      <w:r>
        <w:rPr>
          <w:rFonts w:hint="eastAsia" w:ascii="宋体" w:hAnsi="宋体" w:eastAsia="宋体" w:cs="宋体"/>
          <w:b w:val="0"/>
          <w:bCs/>
          <w:color w:val="auto"/>
          <w:sz w:val="24"/>
          <w:szCs w:val="24"/>
          <w:lang w:val="en-US" w:eastAsia="zh-CN"/>
        </w:rPr>
        <w:t>号</w:t>
      </w:r>
    </w:p>
    <w:p>
      <w:pPr>
        <w:spacing w:line="360" w:lineRule="auto"/>
        <w:jc w:val="center"/>
        <w:rPr>
          <w:rFonts w:eastAsia="黑体"/>
          <w:b/>
          <w:spacing w:val="-14"/>
          <w:sz w:val="32"/>
          <w:szCs w:val="32"/>
        </w:rPr>
      </w:pPr>
    </w:p>
    <w:p>
      <w:pPr>
        <w:spacing w:line="360" w:lineRule="auto"/>
        <w:jc w:val="center"/>
        <w:rPr>
          <w:rFonts w:hint="eastAsia" w:asciiTheme="majorEastAsia" w:hAnsiTheme="majorEastAsia" w:eastAsiaTheme="majorEastAsia" w:cstheme="majorEastAsia"/>
          <w:b/>
          <w:spacing w:val="-14"/>
          <w:sz w:val="36"/>
          <w:szCs w:val="36"/>
          <w:lang w:val="en-US" w:eastAsia="zh-CN"/>
        </w:rPr>
      </w:pPr>
      <w:r>
        <w:rPr>
          <w:rFonts w:hint="eastAsia" w:asciiTheme="majorEastAsia" w:hAnsiTheme="majorEastAsia" w:eastAsiaTheme="majorEastAsia" w:cstheme="majorEastAsia"/>
          <w:b/>
          <w:spacing w:val="-14"/>
          <w:sz w:val="36"/>
          <w:szCs w:val="36"/>
        </w:rPr>
        <w:t>关于</w:t>
      </w:r>
      <w:r>
        <w:rPr>
          <w:rFonts w:hint="eastAsia" w:asciiTheme="majorEastAsia" w:hAnsiTheme="majorEastAsia" w:eastAsiaTheme="majorEastAsia" w:cstheme="majorEastAsia"/>
          <w:b/>
          <w:spacing w:val="-14"/>
          <w:sz w:val="36"/>
          <w:szCs w:val="36"/>
          <w:lang w:val="en-US" w:eastAsia="zh-CN"/>
        </w:rPr>
        <w:t>民权县创新再生资源有限公司年回收6万吨废旧塑料项目</w:t>
      </w:r>
    </w:p>
    <w:p>
      <w:pPr>
        <w:spacing w:line="360" w:lineRule="auto"/>
        <w:jc w:val="center"/>
        <w:rPr>
          <w:rFonts w:hint="eastAsia" w:asciiTheme="majorEastAsia" w:hAnsiTheme="majorEastAsia" w:eastAsiaTheme="majorEastAsia" w:cstheme="majorEastAsia"/>
          <w:b/>
          <w:spacing w:val="-14"/>
          <w:sz w:val="36"/>
          <w:szCs w:val="36"/>
        </w:rPr>
      </w:pPr>
      <w:r>
        <w:rPr>
          <w:rFonts w:hint="eastAsia" w:asciiTheme="majorEastAsia" w:hAnsiTheme="majorEastAsia" w:eastAsiaTheme="majorEastAsia" w:cstheme="majorEastAsia"/>
          <w:b/>
          <w:spacing w:val="-14"/>
          <w:sz w:val="36"/>
          <w:szCs w:val="36"/>
        </w:rPr>
        <w:t>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民权县创新再生资源有限公司：</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你公司报送的由</w:t>
      </w:r>
      <w:r>
        <w:rPr>
          <w:rFonts w:hint="default" w:ascii="仿宋" w:hAnsi="仿宋" w:eastAsia="仿宋" w:cs="仿宋"/>
          <w:sz w:val="28"/>
          <w:szCs w:val="28"/>
          <w:lang w:val="zh-CN" w:eastAsia="zh-CN"/>
        </w:rPr>
        <w:t>河南沃栾环保科技有限公司</w:t>
      </w:r>
      <w:r>
        <w:rPr>
          <w:rFonts w:hint="eastAsia" w:ascii="仿宋" w:hAnsi="仿宋" w:eastAsia="仿宋" w:cs="仿宋"/>
          <w:sz w:val="28"/>
          <w:szCs w:val="28"/>
          <w:lang w:val="en-US" w:eastAsia="zh-CN"/>
        </w:rPr>
        <w:t xml:space="preserve">编制完成的《民权县创新再生资源有限公司年回收6万吨废旧塑料项目环境影响报告表（污染影响类）》（以下简称“报告表”）已收悉。项目拟审批事项已在民权县政府网站公示期满，无异议。经研究，批复如下：  </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1、</w:t>
      </w:r>
      <w:r>
        <w:rPr>
          <w:rFonts w:hint="eastAsia" w:ascii="仿宋" w:hAnsi="仿宋" w:eastAsia="仿宋" w:cs="仿宋"/>
          <w:sz w:val="28"/>
          <w:szCs w:val="28"/>
          <w:lang w:val="en-US" w:eastAsia="zh-CN"/>
        </w:rPr>
        <w:t>原料不得使用受到危险化学品、农药等污染的废弃塑料包装物、医疗用塑料制品等危险废物。</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废水：</w:t>
      </w:r>
      <w:r>
        <w:rPr>
          <w:rFonts w:hint="eastAsia" w:ascii="仿宋" w:hAnsi="仿宋" w:eastAsia="仿宋" w:cs="仿宋"/>
          <w:sz w:val="28"/>
          <w:szCs w:val="28"/>
          <w:lang w:val="en-US" w:eastAsia="zh-CN"/>
        </w:rPr>
        <w:t>（1）生产废水采取“气浮+一体化污水处理设施（</w:t>
      </w:r>
      <w:r>
        <w:rPr>
          <w:rFonts w:hint="default" w:ascii="仿宋" w:hAnsi="仿宋" w:eastAsia="仿宋" w:cs="仿宋"/>
          <w:sz w:val="28"/>
          <w:szCs w:val="28"/>
          <w:lang w:val="zh-CN" w:eastAsia="zh-CN"/>
        </w:rPr>
        <w:t>缺氧/好氧法（A/O）</w:t>
      </w:r>
      <w:r>
        <w:rPr>
          <w:rFonts w:hint="eastAsia" w:ascii="仿宋" w:hAnsi="仿宋" w:eastAsia="仿宋" w:cs="仿宋"/>
          <w:sz w:val="28"/>
          <w:szCs w:val="28"/>
          <w:lang w:val="en-US" w:eastAsia="zh-CN"/>
        </w:rPr>
        <w:t>）”处理，满足《城市污水再生利用 工业用水水质》（G</w:t>
      </w:r>
      <w:r>
        <w:rPr>
          <w:rFonts w:hint="default" w:ascii="仿宋" w:hAnsi="仿宋" w:eastAsia="仿宋" w:cs="仿宋"/>
          <w:sz w:val="28"/>
          <w:szCs w:val="28"/>
          <w:lang w:val="en-US" w:eastAsia="zh-CN"/>
        </w:rPr>
        <w:t>B/T19923-2005</w:t>
      </w:r>
      <w:r>
        <w:rPr>
          <w:rFonts w:hint="eastAsia" w:ascii="仿宋" w:hAnsi="仿宋" w:eastAsia="仿宋" w:cs="仿宋"/>
          <w:sz w:val="28"/>
          <w:szCs w:val="28"/>
          <w:lang w:val="en-US" w:eastAsia="zh-CN"/>
        </w:rPr>
        <w:t>）后回用生产；（2）</w:t>
      </w:r>
      <w:r>
        <w:rPr>
          <w:rFonts w:hint="default" w:ascii="仿宋" w:hAnsi="仿宋" w:eastAsia="仿宋" w:cs="仿宋"/>
          <w:sz w:val="28"/>
          <w:szCs w:val="28"/>
          <w:lang w:val="en-US" w:eastAsia="zh-CN"/>
        </w:rPr>
        <w:t>生活污水经化粪池处理后，定期清掏，外运肥田</w:t>
      </w:r>
      <w:r>
        <w:rPr>
          <w:rFonts w:hint="eastAsia" w:ascii="仿宋" w:hAnsi="仿宋" w:eastAsia="仿宋" w:cs="仿宋"/>
          <w:sz w:val="28"/>
          <w:szCs w:val="28"/>
          <w:lang w:val="en-US" w:eastAsia="zh-CN"/>
        </w:rPr>
        <w:t>，废水不得随意外排。</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3、废气：采用湿法粉碎，严防粉碎污染。</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default" w:ascii="仿宋" w:hAnsi="仿宋" w:eastAsia="仿宋" w:cs="仿宋"/>
          <w:sz w:val="28"/>
          <w:szCs w:val="28"/>
          <w:lang w:val="en-US" w:eastAsia="zh-CN"/>
        </w:rPr>
        <w:t>噪声：</w:t>
      </w:r>
      <w:r>
        <w:rPr>
          <w:rFonts w:hint="eastAsia" w:ascii="仿宋" w:hAnsi="仿宋" w:eastAsia="仿宋" w:cs="仿宋"/>
          <w:sz w:val="28"/>
          <w:szCs w:val="28"/>
          <w:lang w:val="en-US" w:eastAsia="zh-CN"/>
        </w:rPr>
        <w:t>选用低噪声设备，采取减振、隔声等降噪措施对设备噪声进行控制，各厂界噪声满足《工业企业厂界环境噪声排放标准》（</w:t>
      </w:r>
      <w:r>
        <w:rPr>
          <w:rFonts w:hint="default" w:ascii="仿宋" w:hAnsi="仿宋" w:eastAsia="仿宋" w:cs="仿宋"/>
          <w:sz w:val="28"/>
          <w:szCs w:val="28"/>
          <w:lang w:val="en-US" w:eastAsia="zh-CN"/>
        </w:rPr>
        <w:t>GB12348-2008</w:t>
      </w:r>
      <w:r>
        <w:rPr>
          <w:rFonts w:hint="eastAsia" w:ascii="仿宋" w:hAnsi="仿宋" w:eastAsia="仿宋" w:cs="仿宋"/>
          <w:sz w:val="28"/>
          <w:szCs w:val="28"/>
          <w:lang w:val="en-US" w:eastAsia="zh-CN"/>
        </w:rPr>
        <w:t>）2类标准要求。</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default" w:ascii="仿宋" w:hAnsi="仿宋" w:eastAsia="仿宋" w:cs="仿宋"/>
          <w:sz w:val="28"/>
          <w:szCs w:val="28"/>
          <w:lang w:val="en-US" w:eastAsia="zh-CN"/>
        </w:rPr>
        <w:t>固废：</w:t>
      </w:r>
      <w:r>
        <w:rPr>
          <w:rFonts w:hint="eastAsia" w:ascii="仿宋" w:hAnsi="仿宋" w:eastAsia="仿宋" w:cs="仿宋"/>
          <w:sz w:val="28"/>
          <w:szCs w:val="28"/>
          <w:lang w:val="en-US" w:eastAsia="zh-CN"/>
        </w:rPr>
        <w:t>（1）可回收材料收集暂存集中外售；（2）处理系统污泥暂存于污泥暂存间，定期由委托单位进行处理；（3）不可回收材料及生活垃圾送环卫部门处理，一般固废暂存满足《一般工业固体废物贮存和填埋污染控制标准》（GB18599-2020）要求，固废不得随意丢弃。</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四、项目建成后，按相关规定及时进行项目竣工环境保护验收。项目建设及运行过程中，由民权县生态环境分局负责项目的日常环境管理工作。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六、对此批复若存有异议，可自该文下达之日起60日内向河南省生态环境厅、商丘市生态环境局或民权县人民政府申请复议，逾期复议无效。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ind w:firstLine="7280" w:firstLineChars="2600"/>
        <w:textAlignment w:val="auto"/>
        <w:rPr>
          <w:rFonts w:hint="eastAsia" w:ascii="仿宋" w:hAnsi="仿宋" w:eastAsia="仿宋" w:cs="仿宋"/>
          <w:sz w:val="28"/>
          <w:szCs w:val="28"/>
          <w:lang w:val="en-US" w:eastAsia="zh-CN"/>
        </w:rPr>
      </w:pPr>
      <w:bookmarkStart w:id="0" w:name="_GoBack"/>
      <w:bookmarkEnd w:id="0"/>
      <w:r>
        <w:rPr>
          <w:rFonts w:hint="eastAsia" w:ascii="仿宋" w:hAnsi="仿宋" w:eastAsia="仿宋" w:cs="仿宋"/>
          <w:sz w:val="28"/>
          <w:szCs w:val="28"/>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60" w:lineRule="exact"/>
        <w:ind w:firstLine="6440" w:firstLineChars="23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2023年2月15日</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0571"/>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110F2611"/>
    <w:rsid w:val="114105BA"/>
    <w:rsid w:val="18AE1921"/>
    <w:rsid w:val="1B7C72FE"/>
    <w:rsid w:val="1C5B6EBF"/>
    <w:rsid w:val="1D8D5DE6"/>
    <w:rsid w:val="31935183"/>
    <w:rsid w:val="32353CB4"/>
    <w:rsid w:val="38623840"/>
    <w:rsid w:val="3DA03245"/>
    <w:rsid w:val="405F0B00"/>
    <w:rsid w:val="444306B4"/>
    <w:rsid w:val="4A5410B7"/>
    <w:rsid w:val="56272015"/>
    <w:rsid w:val="57690E03"/>
    <w:rsid w:val="5D962A9B"/>
    <w:rsid w:val="5DB942D2"/>
    <w:rsid w:val="620F0E3C"/>
    <w:rsid w:val="63C17BCC"/>
    <w:rsid w:val="659F6DDA"/>
    <w:rsid w:val="6A6A2F53"/>
    <w:rsid w:val="6AA64C8B"/>
    <w:rsid w:val="6F8D73B1"/>
    <w:rsid w:val="779A05D2"/>
    <w:rsid w:val="7C201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paragraph" w:customStyle="1" w:styleId="3">
    <w:name w:val="纯文本1"/>
    <w:basedOn w:val="1"/>
    <w:qFormat/>
    <w:uiPriority w:val="0"/>
    <w:pPr>
      <w:adjustRightInd w:val="0"/>
      <w:jc w:val="center"/>
      <w:textAlignment w:val="baseline"/>
    </w:pPr>
    <w:rPr>
      <w:rFonts w:ascii="宋体" w:hAnsi="Courier New"/>
      <w:sz w:val="24"/>
    </w:rPr>
  </w:style>
  <w:style w:type="paragraph" w:styleId="4">
    <w:name w:val="Plain Text"/>
    <w:basedOn w:val="1"/>
    <w:qFormat/>
    <w:uiPriority w:val="0"/>
    <w:pPr>
      <w:widowControl/>
      <w:adjustRightInd w:val="0"/>
      <w:snapToGrid w:val="0"/>
      <w:spacing w:line="312" w:lineRule="atLeast"/>
      <w:jc w:val="center"/>
      <w:textAlignment w:val="baseline"/>
    </w:pPr>
    <w:rPr>
      <w:rFonts w:ascii="宋体" w:hAnsi="Courier New" w:cs="宋体"/>
      <w:color w:val="000000"/>
      <w:kern w:val="0"/>
      <w:sz w:val="24"/>
      <w:szCs w:val="24"/>
    </w:rPr>
  </w:style>
  <w:style w:type="paragraph" w:styleId="6">
    <w:name w:val="Body Text Indent"/>
    <w:basedOn w:val="1"/>
    <w:unhideWhenUsed/>
    <w:qFormat/>
    <w:uiPriority w:val="99"/>
    <w:pPr>
      <w:spacing w:after="120"/>
      <w:ind w:left="420" w:leftChars="200"/>
    </w:pPr>
    <w:rPr>
      <w:kern w:val="0"/>
      <w:sz w:val="24"/>
      <w:szCs w:val="20"/>
    </w:rPr>
  </w:style>
  <w:style w:type="paragraph" w:styleId="7">
    <w:name w:val="Block Text"/>
    <w:basedOn w:val="1"/>
    <w:next w:val="1"/>
    <w:qFormat/>
    <w:uiPriority w:val="0"/>
    <w:pPr>
      <w:snapToGrid w:val="0"/>
      <w:spacing w:before="100" w:beforeAutospacing="1" w:after="100" w:afterAutospacing="1" w:line="408" w:lineRule="auto"/>
      <w:ind w:left="-113" w:right="-510" w:firstLine="510"/>
    </w:p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6"/>
    <w:next w:val="1"/>
    <w:unhideWhenUsed/>
    <w:qFormat/>
    <w:uiPriority w:val="0"/>
    <w:pPr>
      <w:spacing w:after="120"/>
      <w:ind w:left="420" w:leftChars="200" w:firstLine="420"/>
    </w:p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0"/>
    <w:rPr>
      <w:kern w:val="2"/>
      <w:sz w:val="18"/>
      <w:szCs w:val="18"/>
    </w:rPr>
  </w:style>
  <w:style w:type="character" w:customStyle="1" w:styleId="15">
    <w:name w:val="页脚 Char"/>
    <w:basedOn w:val="13"/>
    <w:link w:val="8"/>
    <w:qFormat/>
    <w:uiPriority w:val="0"/>
    <w:rPr>
      <w:kern w:val="2"/>
      <w:sz w:val="18"/>
      <w:szCs w:val="18"/>
    </w:rPr>
  </w:style>
  <w:style w:type="paragraph" w:styleId="16">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1229</Words>
  <Characters>1279</Characters>
  <Lines>10</Lines>
  <Paragraphs>3</Paragraphs>
  <TotalTime>5</TotalTime>
  <ScaleCrop>false</ScaleCrop>
  <LinksUpToDate>false</LinksUpToDate>
  <CharactersWithSpaces>1328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2023-02-15T09:18:06Z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6735EAC412F14E7D81219C33FB137E5D</vt:lpwstr>
  </property>
</Properties>
</file>