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both"/>
      </w:pPr>
      <w:r>
        <w:rPr>
          <w:sz w:val="28"/>
          <w:szCs w:val="28"/>
        </w:rPr>
        <w:t>拟审批的建设项目</w:t>
      </w:r>
      <w:r>
        <w:rPr>
          <w:rFonts w:hint="eastAsia"/>
          <w:sz w:val="28"/>
          <w:szCs w:val="28"/>
          <w:lang w:val="en-US" w:eastAsia="zh-CN"/>
        </w:rPr>
        <w:t>采取的污染防治措施（</w:t>
      </w:r>
      <w:r>
        <w:rPr>
          <w:sz w:val="28"/>
          <w:szCs w:val="28"/>
        </w:rPr>
        <w:t>环境影响报告表</w:t>
      </w:r>
      <w:r>
        <w:rPr>
          <w:rFonts w:hint="eastAsia"/>
          <w:sz w:val="28"/>
          <w:szCs w:val="28"/>
          <w:lang w:val="en-US" w:eastAsia="zh-CN"/>
        </w:rPr>
        <w:t>内容）</w:t>
      </w:r>
    </w:p>
    <w:tbl>
      <w:tblPr>
        <w:tblStyle w:val="14"/>
        <w:tblW w:w="141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57" w:type="dxa"/>
          <w:right w:w="28" w:type="dxa"/>
        </w:tblCellMar>
      </w:tblPr>
      <w:tblGrid>
        <w:gridCol w:w="359"/>
        <w:gridCol w:w="662"/>
        <w:gridCol w:w="567"/>
        <w:gridCol w:w="567"/>
        <w:gridCol w:w="567"/>
        <w:gridCol w:w="1327"/>
        <w:gridCol w:w="10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c>
          <w:tcPr>
            <w:tcW w:w="359" w:type="dxa"/>
            <w:vAlign w:val="center"/>
          </w:tcPr>
          <w:p>
            <w:pPr>
              <w:keepNext w:val="0"/>
              <w:keepLines w:val="0"/>
              <w:suppressLineNumbers w:val="0"/>
              <w:spacing w:before="0" w:beforeAutospacing="0" w:after="0" w:afterAutospacing="0" w:line="240" w:lineRule="auto"/>
              <w:ind w:left="0" w:right="0"/>
              <w:jc w:val="center"/>
              <w:rPr>
                <w:rFonts w:hint="default" w:ascii="黑体" w:hAnsi="黑体" w:eastAsia="黑体"/>
                <w:b/>
                <w:sz w:val="21"/>
                <w:szCs w:val="21"/>
              </w:rPr>
            </w:pPr>
            <w:r>
              <w:rPr>
                <w:rFonts w:hint="eastAsia" w:ascii="黑体" w:hAnsi="黑体" w:eastAsia="黑体"/>
                <w:b/>
                <w:sz w:val="21"/>
                <w:szCs w:val="21"/>
              </w:rPr>
              <w:t>序号</w:t>
            </w:r>
          </w:p>
        </w:tc>
        <w:tc>
          <w:tcPr>
            <w:tcW w:w="662" w:type="dxa"/>
            <w:vAlign w:val="center"/>
          </w:tcPr>
          <w:p>
            <w:pPr>
              <w:keepNext w:val="0"/>
              <w:keepLines w:val="0"/>
              <w:suppressLineNumbers w:val="0"/>
              <w:spacing w:before="0" w:beforeAutospacing="0" w:after="0" w:afterAutospacing="0" w:line="240" w:lineRule="auto"/>
              <w:ind w:left="0" w:right="0"/>
              <w:jc w:val="center"/>
              <w:rPr>
                <w:rFonts w:hint="default"/>
                <w:sz w:val="21"/>
                <w:szCs w:val="21"/>
              </w:rPr>
            </w:pPr>
            <w:r>
              <w:rPr>
                <w:rFonts w:hint="eastAsia" w:ascii="黑体" w:hAnsi="黑体" w:eastAsia="黑体"/>
                <w:b/>
                <w:sz w:val="21"/>
                <w:szCs w:val="21"/>
              </w:rPr>
              <w:t>项目名称</w:t>
            </w:r>
          </w:p>
        </w:tc>
        <w:tc>
          <w:tcPr>
            <w:tcW w:w="567" w:type="dxa"/>
            <w:vAlign w:val="center"/>
          </w:tcPr>
          <w:p>
            <w:pPr>
              <w:keepNext w:val="0"/>
              <w:keepLines w:val="0"/>
              <w:suppressLineNumbers w:val="0"/>
              <w:spacing w:before="0" w:beforeAutospacing="0" w:after="0" w:afterAutospacing="0" w:line="240" w:lineRule="auto"/>
              <w:ind w:left="0" w:right="0"/>
              <w:jc w:val="center"/>
              <w:rPr>
                <w:rFonts w:hint="default" w:ascii="黑体" w:hAnsi="黑体" w:eastAsia="黑体"/>
                <w:b/>
                <w:sz w:val="21"/>
                <w:szCs w:val="21"/>
              </w:rPr>
            </w:pPr>
            <w:r>
              <w:rPr>
                <w:rFonts w:hint="eastAsia" w:ascii="黑体" w:hAnsi="黑体" w:eastAsia="黑体"/>
                <w:b/>
                <w:sz w:val="21"/>
                <w:szCs w:val="21"/>
              </w:rPr>
              <w:t>建设地点</w:t>
            </w:r>
          </w:p>
        </w:tc>
        <w:tc>
          <w:tcPr>
            <w:tcW w:w="567" w:type="dxa"/>
            <w:vAlign w:val="center"/>
          </w:tcPr>
          <w:p>
            <w:pPr>
              <w:keepNext w:val="0"/>
              <w:keepLines w:val="0"/>
              <w:suppressLineNumbers w:val="0"/>
              <w:spacing w:before="0" w:beforeAutospacing="0" w:after="0" w:afterAutospacing="0" w:line="240" w:lineRule="auto"/>
              <w:ind w:left="0" w:right="0"/>
              <w:jc w:val="center"/>
              <w:rPr>
                <w:rFonts w:hint="default" w:ascii="黑体" w:hAnsi="黑体" w:eastAsia="黑体"/>
                <w:b/>
                <w:sz w:val="21"/>
                <w:szCs w:val="21"/>
              </w:rPr>
            </w:pPr>
            <w:r>
              <w:rPr>
                <w:rFonts w:hint="eastAsia" w:ascii="黑体" w:hAnsi="黑体" w:eastAsia="黑体"/>
                <w:b/>
                <w:sz w:val="21"/>
                <w:szCs w:val="21"/>
              </w:rPr>
              <w:t>建设单位</w:t>
            </w:r>
          </w:p>
        </w:tc>
        <w:tc>
          <w:tcPr>
            <w:tcW w:w="567" w:type="dxa"/>
            <w:vAlign w:val="center"/>
          </w:tcPr>
          <w:p>
            <w:pPr>
              <w:keepNext w:val="0"/>
              <w:keepLines w:val="0"/>
              <w:suppressLineNumbers w:val="0"/>
              <w:spacing w:before="0" w:beforeAutospacing="0" w:after="0" w:afterAutospacing="0" w:line="240" w:lineRule="auto"/>
              <w:ind w:left="0" w:right="0"/>
              <w:jc w:val="center"/>
              <w:rPr>
                <w:rFonts w:hint="default" w:ascii="黑体" w:hAnsi="黑体" w:eastAsia="黑体"/>
                <w:b/>
                <w:sz w:val="21"/>
                <w:szCs w:val="21"/>
              </w:rPr>
            </w:pPr>
            <w:r>
              <w:rPr>
                <w:rFonts w:hint="eastAsia" w:ascii="黑体" w:hAnsi="黑体" w:eastAsia="黑体"/>
                <w:b/>
                <w:sz w:val="21"/>
                <w:szCs w:val="21"/>
              </w:rPr>
              <w:t>环境影响评价机构</w:t>
            </w:r>
          </w:p>
        </w:tc>
        <w:tc>
          <w:tcPr>
            <w:tcW w:w="1327" w:type="dxa"/>
            <w:vAlign w:val="center"/>
          </w:tcPr>
          <w:p>
            <w:pPr>
              <w:keepNext w:val="0"/>
              <w:keepLines w:val="0"/>
              <w:suppressLineNumbers w:val="0"/>
              <w:spacing w:before="0" w:beforeAutospacing="0" w:after="0" w:afterAutospacing="0" w:line="240" w:lineRule="auto"/>
              <w:ind w:left="0" w:right="0"/>
              <w:jc w:val="center"/>
              <w:rPr>
                <w:rFonts w:hint="default" w:ascii="黑体" w:hAnsi="黑体" w:eastAsia="黑体"/>
                <w:b/>
                <w:sz w:val="21"/>
                <w:szCs w:val="21"/>
              </w:rPr>
            </w:pPr>
            <w:r>
              <w:rPr>
                <w:rFonts w:hint="eastAsia" w:ascii="黑体" w:hAnsi="黑体" w:eastAsia="黑体"/>
                <w:b/>
                <w:sz w:val="21"/>
                <w:szCs w:val="21"/>
              </w:rPr>
              <w:t>建设项目概况</w:t>
            </w:r>
          </w:p>
        </w:tc>
        <w:tc>
          <w:tcPr>
            <w:tcW w:w="10140" w:type="dxa"/>
            <w:vAlign w:val="center"/>
          </w:tcPr>
          <w:p>
            <w:pPr>
              <w:keepNext w:val="0"/>
              <w:keepLines w:val="0"/>
              <w:suppressLineNumbers w:val="0"/>
              <w:spacing w:before="0" w:beforeAutospacing="0" w:after="0" w:afterAutospacing="0" w:line="240" w:lineRule="auto"/>
              <w:ind w:left="0" w:right="0"/>
              <w:jc w:val="center"/>
              <w:rPr>
                <w:rFonts w:hint="default" w:ascii="黑体" w:hAnsi="黑体" w:eastAsia="黑体"/>
                <w:b/>
                <w:sz w:val="21"/>
                <w:szCs w:val="21"/>
              </w:rPr>
            </w:pPr>
            <w:r>
              <w:rPr>
                <w:rFonts w:hint="eastAsia" w:ascii="黑体" w:hAnsi="黑体" w:eastAsia="黑体"/>
                <w:b/>
                <w:sz w:val="21"/>
                <w:szCs w:val="21"/>
              </w:rPr>
              <w:t>主要环境影响及预防或减轻不良环境影响的对策和措施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c>
          <w:tcPr>
            <w:tcW w:w="359" w:type="dxa"/>
            <w:vAlign w:val="center"/>
          </w:tcPr>
          <w:p>
            <w:pPr>
              <w:keepNext w:val="0"/>
              <w:keepLines w:val="0"/>
              <w:suppressLineNumbers w:val="0"/>
              <w:spacing w:before="0" w:beforeAutospacing="0" w:after="0" w:afterAutospacing="0" w:line="240" w:lineRule="auto"/>
              <w:ind w:left="0" w:right="0"/>
              <w:jc w:val="center"/>
              <w:rPr>
                <w:rFonts w:hint="default"/>
                <w:sz w:val="21"/>
                <w:szCs w:val="21"/>
              </w:rPr>
            </w:pPr>
            <w:r>
              <w:rPr>
                <w:rFonts w:hint="eastAsia"/>
                <w:sz w:val="21"/>
                <w:szCs w:val="21"/>
              </w:rPr>
              <w:t>1</w:t>
            </w:r>
          </w:p>
        </w:tc>
        <w:tc>
          <w:tcPr>
            <w:tcW w:w="662" w:type="dxa"/>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leftChars="0" w:right="0" w:rightChars="0" w:firstLine="0" w:firstLineChars="0"/>
              <w:jc w:val="left"/>
              <w:textAlignment w:val="auto"/>
              <w:rPr>
                <w:rFonts w:hint="default" w:eastAsia="宋体" w:cs="Times New Roman"/>
                <w:kern w:val="2"/>
                <w:sz w:val="21"/>
                <w:szCs w:val="21"/>
                <w:lang w:val="en-US" w:eastAsia="zh-CN" w:bidi="ar-SA"/>
              </w:rPr>
            </w:pPr>
            <w:r>
              <w:rPr>
                <w:rFonts w:hint="eastAsia" w:cs="Times New Roman"/>
                <w:kern w:val="2"/>
                <w:sz w:val="21"/>
                <w:szCs w:val="21"/>
                <w:lang w:val="en-US" w:eastAsia="zh-CN" w:bidi="ar-SA"/>
              </w:rPr>
              <w:t>民权县宏达建材有限公司年产15万方商品混凝土、20万吨稳定土、1000间装配式水泥房项目</w:t>
            </w:r>
          </w:p>
        </w:tc>
        <w:tc>
          <w:tcPr>
            <w:tcW w:w="567" w:type="dxa"/>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leftChars="0" w:right="0" w:rightChars="0" w:firstLine="0" w:firstLineChars="0"/>
              <w:jc w:val="left"/>
              <w:textAlignment w:val="auto"/>
              <w:rPr>
                <w:rFonts w:hint="default" w:eastAsia="宋体" w:cs="Times New Roman"/>
                <w:kern w:val="2"/>
                <w:sz w:val="21"/>
                <w:szCs w:val="21"/>
                <w:lang w:val="en-US" w:eastAsia="zh-CN" w:bidi="ar-SA"/>
              </w:rPr>
            </w:pPr>
            <w:r>
              <w:rPr>
                <w:rFonts w:hint="eastAsia" w:cs="Times New Roman"/>
                <w:kern w:val="2"/>
                <w:sz w:val="21"/>
                <w:szCs w:val="21"/>
                <w:lang w:val="en-US" w:eastAsia="zh-CN" w:bidi="ar-SA"/>
              </w:rPr>
              <w:t>河南省商丘市民权县花园乡魏庄村</w:t>
            </w:r>
          </w:p>
        </w:tc>
        <w:tc>
          <w:tcPr>
            <w:tcW w:w="567" w:type="dxa"/>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leftChars="0" w:right="0" w:rightChars="0" w:firstLine="0" w:firstLineChars="0"/>
              <w:jc w:val="left"/>
              <w:textAlignment w:val="auto"/>
              <w:rPr>
                <w:rFonts w:hint="default" w:ascii="Times New Roman" w:hAnsi="Times New Roman" w:cs="Times New Roman"/>
                <w:kern w:val="2"/>
                <w:sz w:val="21"/>
                <w:szCs w:val="21"/>
                <w:lang w:val="en-US" w:eastAsia="zh-CN" w:bidi="ar-SA"/>
              </w:rPr>
            </w:pPr>
            <w:r>
              <w:rPr>
                <w:rFonts w:hint="eastAsia" w:cs="Times New Roman"/>
                <w:kern w:val="2"/>
                <w:sz w:val="21"/>
                <w:szCs w:val="21"/>
                <w:lang w:val="en-US" w:eastAsia="zh-CN" w:bidi="ar-SA"/>
              </w:rPr>
              <w:t>民权县宏达建材有限公司</w:t>
            </w:r>
          </w:p>
        </w:tc>
        <w:tc>
          <w:tcPr>
            <w:tcW w:w="567" w:type="dxa"/>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leftChars="0" w:right="0" w:rightChars="0" w:firstLine="0" w:firstLineChars="0"/>
              <w:jc w:val="left"/>
              <w:textAlignment w:val="auto"/>
              <w:rPr>
                <w:rFonts w:hint="default" w:ascii="Times New Roman" w:hAnsi="Times New Roman" w:cs="Times New Roman"/>
                <w:kern w:val="2"/>
                <w:sz w:val="21"/>
                <w:szCs w:val="21"/>
                <w:lang w:val="en-US" w:eastAsia="zh-CN" w:bidi="ar-SA"/>
              </w:rPr>
            </w:pPr>
            <w:r>
              <w:rPr>
                <w:rFonts w:hint="eastAsia" w:cs="Times New Roman"/>
                <w:kern w:val="2"/>
                <w:sz w:val="21"/>
                <w:szCs w:val="21"/>
                <w:lang w:val="en-US" w:eastAsia="zh-CN" w:bidi="ar-SA"/>
              </w:rPr>
              <w:t>河南省波光环境评估服务有限公司</w:t>
            </w:r>
          </w:p>
        </w:tc>
        <w:tc>
          <w:tcPr>
            <w:tcW w:w="1327" w:type="dxa"/>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leftChars="0" w:right="0" w:rightChars="0" w:firstLine="0" w:firstLineChars="0"/>
              <w:jc w:val="both"/>
              <w:textAlignment w:val="auto"/>
              <w:rPr>
                <w:rFonts w:hint="default" w:ascii="Times New Roman" w:hAnsi="Times New Roman" w:cs="Times New Roman"/>
                <w:kern w:val="2"/>
                <w:sz w:val="21"/>
                <w:szCs w:val="21"/>
                <w:lang w:val="en-US" w:eastAsia="zh-CN" w:bidi="ar-SA"/>
              </w:rPr>
            </w:pPr>
            <w:r>
              <w:rPr>
                <w:rFonts w:hint="eastAsia" w:ascii="Times New Roman" w:hAnsi="Times New Roman" w:cs="Times New Roman"/>
                <w:kern w:val="2"/>
                <w:sz w:val="21"/>
                <w:szCs w:val="21"/>
                <w:lang w:val="en-US" w:eastAsia="zh-CN" w:bidi="ar-SA"/>
              </w:rPr>
              <w:t>根据《产业结构调整指导目录（</w:t>
            </w:r>
            <w:r>
              <w:rPr>
                <w:rFonts w:hint="default" w:ascii="Times New Roman" w:hAnsi="Times New Roman" w:cs="Times New Roman"/>
                <w:kern w:val="2"/>
                <w:sz w:val="21"/>
                <w:szCs w:val="21"/>
                <w:lang w:val="en-US" w:eastAsia="zh-CN" w:bidi="ar-SA"/>
              </w:rPr>
              <w:t>2019</w:t>
            </w:r>
            <w:r>
              <w:rPr>
                <w:rFonts w:hint="eastAsia" w:ascii="Times New Roman" w:hAnsi="Times New Roman" w:cs="Times New Roman"/>
                <w:kern w:val="2"/>
                <w:sz w:val="21"/>
                <w:szCs w:val="21"/>
                <w:lang w:val="en-US" w:eastAsia="zh-CN" w:bidi="ar-SA"/>
              </w:rPr>
              <w:t>年本）》，该项目不属于鼓励类、限制类和淘汰类项目，因此该项目属于国家允许类项目</w:t>
            </w:r>
            <w:r>
              <w:rPr>
                <w:rFonts w:hint="default" w:ascii="Times New Roman" w:hAnsi="Times New Roman" w:cs="Times New Roman"/>
                <w:kern w:val="2"/>
                <w:sz w:val="21"/>
                <w:szCs w:val="21"/>
                <w:lang w:val="en-US" w:eastAsia="zh-CN" w:bidi="ar-SA"/>
              </w:rPr>
              <w:t>，</w:t>
            </w:r>
            <w:r>
              <w:rPr>
                <w:rFonts w:hint="eastAsia" w:ascii="Times New Roman" w:hAnsi="Times New Roman" w:cs="Times New Roman"/>
                <w:kern w:val="2"/>
                <w:sz w:val="21"/>
                <w:szCs w:val="21"/>
                <w:lang w:val="en-US" w:eastAsia="zh-CN" w:bidi="ar-SA"/>
              </w:rPr>
              <w:t>符合国家产业政策和地方发展规划</w:t>
            </w:r>
            <w:r>
              <w:rPr>
                <w:rFonts w:hint="default" w:ascii="Times New Roman" w:hAnsi="Times New Roman" w:cs="Times New Roman"/>
                <w:kern w:val="2"/>
                <w:sz w:val="21"/>
                <w:szCs w:val="21"/>
                <w:lang w:val="en-US" w:eastAsia="zh-CN" w:bidi="ar-SA"/>
              </w:rPr>
              <w:t>。</w:t>
            </w:r>
            <w:r>
              <w:rPr>
                <w:rFonts w:hint="default" w:ascii="Times New Roman" w:hAnsi="Times New Roman" w:eastAsia="宋体" w:cs="Times New Roman"/>
                <w:bCs/>
                <w:snapToGrid/>
                <w:color w:val="auto"/>
                <w:spacing w:val="0"/>
                <w:w w:val="100"/>
                <w:kern w:val="0"/>
                <w:position w:val="0"/>
                <w:sz w:val="21"/>
                <w:szCs w:val="21"/>
                <w:highlight w:val="none"/>
                <w:lang w:val="en-US" w:eastAsia="zh-CN"/>
              </w:rPr>
              <w:t>工程占地面积为</w:t>
            </w:r>
            <w:r>
              <w:rPr>
                <w:rFonts w:hint="eastAsia" w:cs="Times New Roman"/>
                <w:color w:val="auto"/>
                <w:sz w:val="21"/>
                <w:szCs w:val="21"/>
                <w:highlight w:val="none"/>
                <w:lang w:val="en-US" w:eastAsia="zh-CN"/>
              </w:rPr>
              <w:t>33000</w:t>
            </w:r>
            <w:r>
              <w:rPr>
                <w:rFonts w:hint="default" w:ascii="Times New Roman" w:hAnsi="Times New Roman" w:eastAsia="宋体" w:cs="Times New Roman"/>
                <w:bCs/>
                <w:snapToGrid/>
                <w:color w:val="auto"/>
                <w:spacing w:val="0"/>
                <w:w w:val="100"/>
                <w:kern w:val="0"/>
                <w:position w:val="0"/>
                <w:sz w:val="21"/>
                <w:szCs w:val="21"/>
                <w:highlight w:val="none"/>
                <w:lang w:val="en-US" w:eastAsia="zh-CN"/>
              </w:rPr>
              <w:t>m</w:t>
            </w:r>
            <w:r>
              <w:rPr>
                <w:rFonts w:hint="default" w:ascii="Times New Roman" w:hAnsi="Times New Roman" w:eastAsia="宋体" w:cs="Times New Roman"/>
                <w:bCs/>
                <w:snapToGrid/>
                <w:color w:val="auto"/>
                <w:spacing w:val="0"/>
                <w:w w:val="100"/>
                <w:kern w:val="0"/>
                <w:position w:val="0"/>
                <w:sz w:val="21"/>
                <w:szCs w:val="21"/>
                <w:highlight w:val="none"/>
                <w:vertAlign w:val="superscript"/>
                <w:lang w:val="en-US" w:eastAsia="zh-CN"/>
              </w:rPr>
              <w:t>2</w:t>
            </w:r>
            <w:r>
              <w:rPr>
                <w:rFonts w:hint="default" w:ascii="Times New Roman" w:hAnsi="Times New Roman" w:cs="Times New Roman"/>
                <w:color w:val="auto"/>
                <w:sz w:val="21"/>
                <w:szCs w:val="21"/>
                <w:highlight w:val="none"/>
                <w:lang w:val="en-US" w:eastAsia="zh-CN"/>
              </w:rPr>
              <w:t>。</w:t>
            </w:r>
            <w:r>
              <w:rPr>
                <w:rFonts w:hint="default" w:ascii="Times New Roman" w:hAnsi="Times New Roman" w:cs="Times New Roman"/>
                <w:kern w:val="2"/>
                <w:sz w:val="21"/>
                <w:szCs w:val="21"/>
                <w:lang w:val="en-US" w:eastAsia="zh-CN" w:bidi="ar-SA"/>
              </w:rPr>
              <w:t>总投资3000万元，项目环保投资</w:t>
            </w:r>
            <w:r>
              <w:rPr>
                <w:rFonts w:hint="eastAsia" w:cs="Times New Roman"/>
                <w:kern w:val="2"/>
                <w:sz w:val="21"/>
                <w:szCs w:val="21"/>
                <w:lang w:val="en-US" w:eastAsia="zh-CN" w:bidi="ar-SA"/>
              </w:rPr>
              <w:t>81.</w:t>
            </w:r>
            <w:r>
              <w:rPr>
                <w:rFonts w:hint="default" w:ascii="Times New Roman" w:hAnsi="Times New Roman" w:cs="Times New Roman"/>
                <w:kern w:val="2"/>
                <w:sz w:val="21"/>
                <w:szCs w:val="21"/>
                <w:lang w:val="en-US" w:eastAsia="zh-CN" w:bidi="ar-SA"/>
              </w:rPr>
              <w:t>5万元，占总投资的2.</w:t>
            </w:r>
            <w:r>
              <w:rPr>
                <w:rFonts w:hint="eastAsia" w:cs="Times New Roman"/>
                <w:kern w:val="2"/>
                <w:sz w:val="21"/>
                <w:szCs w:val="21"/>
                <w:lang w:val="en-US" w:eastAsia="zh-CN" w:bidi="ar-SA"/>
              </w:rPr>
              <w:t>7</w:t>
            </w:r>
            <w:r>
              <w:rPr>
                <w:rFonts w:hint="default" w:ascii="Times New Roman" w:hAnsi="Times New Roman" w:cs="Times New Roman"/>
                <w:kern w:val="2"/>
                <w:sz w:val="21"/>
                <w:szCs w:val="21"/>
                <w:lang w:val="en-US" w:eastAsia="zh-CN" w:bidi="ar-SA"/>
              </w:rPr>
              <w:t>2%。</w:t>
            </w:r>
          </w:p>
        </w:tc>
        <w:tc>
          <w:tcPr>
            <w:tcW w:w="10140"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right="0" w:firstLine="0" w:firstLineChars="0"/>
              <w:jc w:val="both"/>
              <w:textAlignment w:val="auto"/>
              <w:outlineLvl w:val="9"/>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napToGrid/>
                <w:color w:val="000000"/>
                <w:spacing w:val="0"/>
                <w:w w:val="100"/>
                <w:kern w:val="0"/>
                <w:position w:val="0"/>
                <w:sz w:val="21"/>
                <w:szCs w:val="21"/>
                <w:lang w:val="en-US" w:eastAsia="zh-CN" w:bidi="ar-SA"/>
              </w:rPr>
              <w:t>1、</w:t>
            </w:r>
            <w:r>
              <w:rPr>
                <w:rFonts w:hint="default" w:ascii="Times New Roman" w:hAnsi="Times New Roman" w:eastAsia="宋体" w:cs="Times New Roman"/>
                <w:snapToGrid/>
                <w:color w:val="000000"/>
                <w:spacing w:val="0"/>
                <w:w w:val="100"/>
                <w:kern w:val="0"/>
                <w:position w:val="0"/>
                <w:sz w:val="21"/>
                <w:szCs w:val="21"/>
                <w:lang w:val="en-US" w:eastAsia="zh-CN" w:bidi="ar-SA"/>
              </w:rPr>
              <w:t>废</w:t>
            </w:r>
            <w:r>
              <w:rPr>
                <w:rFonts w:hint="default" w:ascii="Times New Roman" w:hAnsi="Times New Roman" w:eastAsia="宋体" w:cs="Times New Roman"/>
                <w:sz w:val="21"/>
                <w:szCs w:val="21"/>
                <w:lang w:val="en-US" w:eastAsia="zh-CN"/>
              </w:rPr>
              <w:t>水：项目产生的废水主要为混凝土搅拌机清洗废水、稳定土搅拌机清洗废水、混凝土运输罐车清洗废水、蒸压养护产生的冷凝水、进出车辆冲洗废水、生活污水。</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right="0" w:firstLine="0" w:firstLineChars="0"/>
              <w:jc w:val="both"/>
              <w:textAlignment w:val="auto"/>
              <w:outlineLvl w:val="9"/>
              <w:rPr>
                <w:rFonts w:hint="default" w:ascii="Times New Roman" w:hAnsi="Times New Roman" w:eastAsia="宋体" w:cs="Times New Roman"/>
                <w:snapToGrid/>
                <w:color w:val="auto"/>
                <w:spacing w:val="0"/>
                <w:w w:val="100"/>
                <w:kern w:val="0"/>
                <w:position w:val="0"/>
                <w:sz w:val="21"/>
                <w:szCs w:val="21"/>
              </w:rPr>
            </w:pPr>
            <w:r>
              <w:rPr>
                <w:rFonts w:hint="default" w:ascii="Times New Roman" w:hAnsi="Times New Roman" w:eastAsia="宋体" w:cs="Times New Roman"/>
                <w:sz w:val="21"/>
                <w:szCs w:val="21"/>
                <w:lang w:val="en-US" w:eastAsia="zh-CN"/>
              </w:rPr>
              <w:t>混凝土搅拌机清洗废水、稳定土搅拌机清洗废水、混凝土运输罐车清洗废水、蒸压养护产生的冷凝水、进出车辆冲洗废水经一套“砂石分离机+50m3三级沉淀池”废水处理系统处理后全部回用到厂区及出厂道路洒水抑尘用；生活污水经化粪池处理后，定期清掏，外运肥田。</w:t>
            </w:r>
          </w:p>
          <w:p>
            <w:pPr>
              <w:keepNext w:val="0"/>
              <w:keepLines w:val="0"/>
              <w:pageBreakBefore w:val="0"/>
              <w:numPr>
                <w:ilvl w:val="0"/>
                <w:numId w:val="1"/>
              </w:numPr>
              <w:suppressLineNumbers w:val="0"/>
              <w:kinsoku/>
              <w:wordWrap/>
              <w:overflowPunct/>
              <w:topLinePunct w:val="0"/>
              <w:autoSpaceDE/>
              <w:autoSpaceDN/>
              <w:bidi w:val="0"/>
              <w:adjustRightInd/>
              <w:snapToGrid/>
              <w:spacing w:before="0" w:beforeAutospacing="0" w:after="0" w:afterAutospacing="0" w:line="280" w:lineRule="exact"/>
              <w:ind w:left="0" w:right="0" w:firstLine="0" w:firstLineChars="0"/>
              <w:jc w:val="both"/>
              <w:textAlignment w:val="auto"/>
              <w:outlineLvl w:val="9"/>
              <w:rPr>
                <w:rFonts w:hint="eastAsia" w:ascii="Times New Roman" w:hAnsi="Times New Roman" w:eastAsia="宋体" w:cs="Times New Roman"/>
                <w:snapToGrid/>
                <w:color w:val="000000"/>
                <w:spacing w:val="0"/>
                <w:w w:val="100"/>
                <w:kern w:val="0"/>
                <w:position w:val="0"/>
                <w:sz w:val="21"/>
                <w:szCs w:val="21"/>
                <w:lang w:val="en-US" w:eastAsia="zh-CN" w:bidi="ar-SA"/>
              </w:rPr>
            </w:pPr>
            <w:r>
              <w:rPr>
                <w:rFonts w:hint="eastAsia" w:ascii="Times New Roman" w:hAnsi="Times New Roman" w:cs="Times New Roman"/>
                <w:sz w:val="21"/>
                <w:szCs w:val="21"/>
                <w:lang w:val="en-US" w:eastAsia="zh-CN"/>
              </w:rPr>
              <w:t>废气</w:t>
            </w:r>
            <w:r>
              <w:rPr>
                <w:rFonts w:hint="eastAsia" w:ascii="Times New Roman" w:hAnsi="Times New Roman" w:eastAsia="宋体" w:cs="Times New Roman"/>
                <w:snapToGrid/>
                <w:color w:val="000000"/>
                <w:spacing w:val="0"/>
                <w:w w:val="100"/>
                <w:kern w:val="0"/>
                <w:position w:val="0"/>
                <w:sz w:val="21"/>
                <w:szCs w:val="21"/>
                <w:lang w:val="en-US" w:eastAsia="zh-CN" w:bidi="ar-SA"/>
              </w:rPr>
              <w:t>：①</w:t>
            </w:r>
            <w:r>
              <w:rPr>
                <w:rFonts w:hint="default" w:ascii="Times New Roman" w:hAnsi="Times New Roman" w:eastAsia="宋体" w:cs="Times New Roman"/>
                <w:bCs/>
                <w:snapToGrid/>
                <w:color w:val="auto"/>
                <w:spacing w:val="0"/>
                <w:w w:val="100"/>
                <w:kern w:val="0"/>
                <w:position w:val="0"/>
                <w:sz w:val="21"/>
                <w:szCs w:val="21"/>
                <w:lang w:val="en-US" w:eastAsia="zh-CN"/>
              </w:rPr>
              <w:t>石头破碎、筛分</w:t>
            </w:r>
            <w:r>
              <w:rPr>
                <w:rFonts w:hint="eastAsia" w:eastAsia="宋体" w:cs="Times New Roman"/>
                <w:bCs/>
                <w:snapToGrid/>
                <w:color w:val="auto"/>
                <w:spacing w:val="0"/>
                <w:w w:val="100"/>
                <w:kern w:val="0"/>
                <w:position w:val="0"/>
                <w:sz w:val="21"/>
                <w:szCs w:val="21"/>
                <w:lang w:val="en-US" w:eastAsia="zh-CN"/>
              </w:rPr>
              <w:t>粉尘：</w:t>
            </w:r>
            <w:r>
              <w:rPr>
                <w:rFonts w:hint="default" w:ascii="Times New Roman" w:hAnsi="Times New Roman" w:eastAsia="宋体" w:cs="Times New Roman"/>
                <w:b w:val="0"/>
                <w:bCs w:val="0"/>
                <w:color w:val="auto"/>
                <w:sz w:val="21"/>
                <w:szCs w:val="21"/>
                <w:highlight w:val="none"/>
                <w:u w:val="none"/>
                <w:lang w:val="en-US" w:eastAsia="zh-CN"/>
              </w:rPr>
              <w:t>将颚式破碎机、筛分机</w:t>
            </w:r>
            <w:r>
              <w:rPr>
                <w:rFonts w:hint="default" w:ascii="Times New Roman" w:hAnsi="Times New Roman" w:eastAsia="宋体" w:cs="Times New Roman"/>
                <w:b w:val="0"/>
                <w:bCs w:val="0"/>
                <w:color w:val="auto"/>
                <w:sz w:val="21"/>
                <w:szCs w:val="21"/>
                <w:highlight w:val="none"/>
                <w:u w:val="none"/>
                <w:lang w:eastAsia="zh-CN"/>
              </w:rPr>
              <w:t>进料口四周</w:t>
            </w:r>
            <w:r>
              <w:rPr>
                <w:rFonts w:hint="default" w:ascii="Times New Roman" w:hAnsi="Times New Roman" w:eastAsia="宋体" w:cs="Times New Roman"/>
                <w:b w:val="0"/>
                <w:bCs w:val="0"/>
                <w:color w:val="auto"/>
                <w:sz w:val="21"/>
                <w:szCs w:val="21"/>
                <w:highlight w:val="none"/>
                <w:u w:val="none"/>
                <w:lang w:val="en-US" w:eastAsia="zh-CN"/>
              </w:rPr>
              <w:t>设置密闭围挡，同时上方设置集气罩进行废气收集，产生的粉尘经收集后通过管道引入1套袋式除尘器处理处理后通过15m高排气筒排放</w:t>
            </w:r>
            <w:r>
              <w:rPr>
                <w:rFonts w:hint="eastAsia" w:eastAsia="宋体" w:cs="Times New Roman"/>
                <w:b w:val="0"/>
                <w:bCs w:val="0"/>
                <w:color w:val="auto"/>
                <w:sz w:val="21"/>
                <w:szCs w:val="21"/>
                <w:highlight w:val="none"/>
                <w:u w:val="none"/>
                <w:lang w:val="en-US" w:eastAsia="zh-CN"/>
              </w:rPr>
              <w:t>；</w:t>
            </w:r>
            <w:r>
              <w:rPr>
                <w:rFonts w:hint="eastAsia" w:ascii="Times New Roman" w:hAnsi="Times New Roman" w:eastAsia="宋体" w:cs="Times New Roman"/>
                <w:snapToGrid/>
                <w:color w:val="000000"/>
                <w:spacing w:val="0"/>
                <w:w w:val="100"/>
                <w:kern w:val="0"/>
                <w:position w:val="0"/>
                <w:sz w:val="21"/>
                <w:szCs w:val="21"/>
                <w:lang w:val="en-US" w:eastAsia="zh-CN" w:bidi="ar-SA"/>
              </w:rPr>
              <w:t>②</w:t>
            </w:r>
            <w:r>
              <w:rPr>
                <w:rFonts w:hint="default" w:ascii="Times New Roman" w:hAnsi="Times New Roman" w:eastAsia="宋体" w:cs="Times New Roman"/>
                <w:bCs/>
                <w:snapToGrid/>
                <w:color w:val="auto"/>
                <w:spacing w:val="0"/>
                <w:w w:val="100"/>
                <w:kern w:val="0"/>
                <w:position w:val="0"/>
                <w:sz w:val="21"/>
                <w:szCs w:val="21"/>
                <w:lang w:val="en-US" w:eastAsia="zh-CN"/>
              </w:rPr>
              <w:t>铲车上料粉尘</w:t>
            </w:r>
            <w:r>
              <w:rPr>
                <w:rFonts w:hint="eastAsia" w:eastAsia="宋体" w:cs="Times New Roman"/>
                <w:bCs/>
                <w:snapToGrid/>
                <w:color w:val="auto"/>
                <w:spacing w:val="0"/>
                <w:w w:val="100"/>
                <w:kern w:val="0"/>
                <w:position w:val="0"/>
                <w:sz w:val="21"/>
                <w:szCs w:val="21"/>
                <w:lang w:val="en-US" w:eastAsia="zh-CN"/>
              </w:rPr>
              <w:t>：</w:t>
            </w:r>
            <w:r>
              <w:rPr>
                <w:rFonts w:hint="default" w:ascii="Times New Roman" w:hAnsi="Times New Roman" w:eastAsia="宋体" w:cs="Times New Roman"/>
                <w:b w:val="0"/>
                <w:bCs w:val="0"/>
                <w:color w:val="auto"/>
                <w:sz w:val="21"/>
                <w:szCs w:val="21"/>
                <w:highlight w:val="none"/>
                <w:u w:val="none"/>
                <w:lang w:val="en-US" w:eastAsia="zh-CN"/>
              </w:rPr>
              <w:t>将铲车上料口三面密闭，并在上方设置集气罩，然后通过风管将废气抽至一套袋式除尘器进行处理，处理后通过15m高排气筒排放</w:t>
            </w:r>
            <w:r>
              <w:rPr>
                <w:rFonts w:hint="eastAsia" w:cs="Times New Roman"/>
                <w:snapToGrid/>
                <w:color w:val="000000"/>
                <w:spacing w:val="0"/>
                <w:w w:val="100"/>
                <w:kern w:val="0"/>
                <w:position w:val="0"/>
                <w:sz w:val="21"/>
                <w:szCs w:val="21"/>
                <w:lang w:val="en-US" w:eastAsia="zh-CN" w:bidi="ar-SA"/>
              </w:rPr>
              <w:t>；</w:t>
            </w:r>
            <w:r>
              <w:rPr>
                <w:rFonts w:hint="eastAsia" w:ascii="Times New Roman" w:hAnsi="Times New Roman" w:eastAsia="宋体" w:cs="Times New Roman"/>
                <w:snapToGrid/>
                <w:color w:val="000000"/>
                <w:spacing w:val="0"/>
                <w:w w:val="100"/>
                <w:kern w:val="0"/>
                <w:position w:val="0"/>
                <w:sz w:val="21"/>
                <w:szCs w:val="21"/>
                <w:lang w:val="en-US" w:eastAsia="zh-CN" w:bidi="ar-SA"/>
              </w:rPr>
              <w:t>③</w:t>
            </w:r>
            <w:r>
              <w:rPr>
                <w:rFonts w:hint="default" w:ascii="Times New Roman" w:hAnsi="Times New Roman" w:eastAsia="宋体" w:cs="Times New Roman"/>
                <w:bCs/>
                <w:snapToGrid/>
                <w:color w:val="auto"/>
                <w:spacing w:val="0"/>
                <w:w w:val="100"/>
                <w:kern w:val="0"/>
                <w:position w:val="0"/>
                <w:sz w:val="21"/>
                <w:szCs w:val="21"/>
                <w:lang w:val="en-US" w:eastAsia="zh-CN"/>
              </w:rPr>
              <w:t>混凝土搅拌机落料粉尘</w:t>
            </w:r>
            <w:r>
              <w:rPr>
                <w:rFonts w:hint="eastAsia" w:eastAsia="宋体" w:cs="Times New Roman"/>
                <w:bCs/>
                <w:snapToGrid/>
                <w:color w:val="auto"/>
                <w:spacing w:val="0"/>
                <w:w w:val="100"/>
                <w:kern w:val="0"/>
                <w:position w:val="0"/>
                <w:sz w:val="21"/>
                <w:szCs w:val="21"/>
                <w:lang w:val="en-US" w:eastAsia="zh-CN"/>
              </w:rPr>
              <w:t>：</w:t>
            </w:r>
            <w:r>
              <w:rPr>
                <w:rFonts w:hint="default" w:ascii="Times New Roman" w:hAnsi="Times New Roman" w:eastAsia="宋体" w:cs="Times New Roman"/>
                <w:b w:val="0"/>
                <w:bCs w:val="0"/>
                <w:color w:val="auto"/>
                <w:sz w:val="21"/>
                <w:szCs w:val="21"/>
                <w:u w:val="none"/>
                <w:lang w:val="en-US" w:eastAsia="zh-CN"/>
              </w:rPr>
              <w:t>混凝土搅拌机物料混合搅拌过程产生粉尘经自带除尘器处理后再引入到一台</w:t>
            </w:r>
            <w:r>
              <w:rPr>
                <w:rFonts w:hint="default" w:ascii="Times New Roman" w:hAnsi="Times New Roman" w:eastAsia="宋体" w:cs="Times New Roman"/>
                <w:color w:val="auto"/>
                <w:kern w:val="0"/>
                <w:sz w:val="21"/>
                <w:szCs w:val="21"/>
                <w:lang w:val="en-US" w:eastAsia="zh-CN"/>
              </w:rPr>
              <w:t>1套袋式除尘器进行处理，处理后</w:t>
            </w:r>
            <w:r>
              <w:rPr>
                <w:rFonts w:hint="default" w:ascii="Times New Roman" w:hAnsi="Times New Roman" w:eastAsia="宋体" w:cs="Times New Roman"/>
                <w:b w:val="0"/>
                <w:bCs w:val="0"/>
                <w:color w:val="auto"/>
                <w:sz w:val="21"/>
                <w:szCs w:val="21"/>
                <w:highlight w:val="none"/>
                <w:u w:val="none"/>
                <w:lang w:val="en-US" w:eastAsia="zh-CN"/>
              </w:rPr>
              <w:t>通过15m高排气筒排放</w:t>
            </w:r>
            <w:r>
              <w:rPr>
                <w:rFonts w:hint="eastAsia" w:eastAsia="宋体" w:cs="Times New Roman"/>
                <w:b w:val="0"/>
                <w:bCs w:val="0"/>
                <w:color w:val="auto"/>
                <w:sz w:val="21"/>
                <w:szCs w:val="21"/>
                <w:highlight w:val="none"/>
                <w:u w:val="none"/>
                <w:lang w:val="en-US" w:eastAsia="zh-CN"/>
              </w:rPr>
              <w:t>；④</w:t>
            </w:r>
            <w:r>
              <w:rPr>
                <w:rFonts w:hint="default" w:ascii="Times New Roman" w:hAnsi="Times New Roman" w:eastAsia="宋体" w:cs="Times New Roman"/>
                <w:bCs/>
                <w:snapToGrid/>
                <w:color w:val="auto"/>
                <w:spacing w:val="0"/>
                <w:w w:val="100"/>
                <w:kern w:val="0"/>
                <w:position w:val="0"/>
                <w:sz w:val="21"/>
                <w:szCs w:val="21"/>
                <w:lang w:val="en-US" w:eastAsia="zh-CN"/>
              </w:rPr>
              <w:t>稳定土搅拌机落料粉尘</w:t>
            </w:r>
            <w:r>
              <w:rPr>
                <w:rFonts w:hint="eastAsia" w:eastAsia="宋体" w:cs="Times New Roman"/>
                <w:bCs/>
                <w:snapToGrid/>
                <w:color w:val="auto"/>
                <w:spacing w:val="0"/>
                <w:w w:val="100"/>
                <w:kern w:val="0"/>
                <w:position w:val="0"/>
                <w:sz w:val="21"/>
                <w:szCs w:val="21"/>
                <w:lang w:val="en-US" w:eastAsia="zh-CN"/>
              </w:rPr>
              <w:t>：</w:t>
            </w:r>
            <w:r>
              <w:rPr>
                <w:rFonts w:hint="default" w:ascii="Times New Roman" w:hAnsi="Times New Roman" w:eastAsia="宋体" w:cs="Times New Roman"/>
                <w:b w:val="0"/>
                <w:bCs w:val="0"/>
                <w:color w:val="auto"/>
                <w:sz w:val="21"/>
                <w:szCs w:val="21"/>
                <w:u w:val="none"/>
                <w:lang w:val="en-US" w:eastAsia="zh-CN"/>
              </w:rPr>
              <w:t>稳定土搅拌机物料混合搅拌过程产生粉尘经自带除尘器处理后再引入到一台</w:t>
            </w:r>
            <w:r>
              <w:rPr>
                <w:rFonts w:hint="default" w:ascii="Times New Roman" w:hAnsi="Times New Roman" w:eastAsia="宋体" w:cs="Times New Roman"/>
                <w:color w:val="auto"/>
                <w:kern w:val="0"/>
                <w:sz w:val="21"/>
                <w:szCs w:val="21"/>
                <w:lang w:val="en-US" w:eastAsia="zh-CN"/>
              </w:rPr>
              <w:t>1套袋式除尘器</w:t>
            </w:r>
            <w:r>
              <w:rPr>
                <w:rFonts w:hint="eastAsia" w:ascii="Times New Roman" w:hAnsi="Times New Roman" w:eastAsia="宋体" w:cs="Times New Roman"/>
                <w:color w:val="auto"/>
                <w:kern w:val="0"/>
                <w:sz w:val="21"/>
                <w:szCs w:val="21"/>
                <w:lang w:val="en-US" w:eastAsia="zh-CN"/>
              </w:rPr>
              <w:t>，</w:t>
            </w:r>
            <w:r>
              <w:rPr>
                <w:rFonts w:hint="default" w:ascii="Times New Roman" w:hAnsi="Times New Roman" w:eastAsia="宋体" w:cs="Times New Roman"/>
                <w:color w:val="auto"/>
                <w:kern w:val="0"/>
                <w:sz w:val="21"/>
                <w:szCs w:val="21"/>
                <w:lang w:val="en-US" w:eastAsia="zh-CN"/>
              </w:rPr>
              <w:t>处理后</w:t>
            </w:r>
            <w:r>
              <w:rPr>
                <w:rFonts w:hint="default" w:ascii="Times New Roman" w:hAnsi="Times New Roman" w:eastAsia="宋体" w:cs="Times New Roman"/>
                <w:b w:val="0"/>
                <w:bCs w:val="0"/>
                <w:color w:val="auto"/>
                <w:sz w:val="21"/>
                <w:szCs w:val="21"/>
                <w:highlight w:val="none"/>
                <w:u w:val="none"/>
                <w:lang w:val="en-US" w:eastAsia="zh-CN"/>
              </w:rPr>
              <w:t>通过15m高排气筒排放</w:t>
            </w:r>
            <w:r>
              <w:rPr>
                <w:rFonts w:hint="eastAsia" w:eastAsia="宋体" w:cs="Times New Roman"/>
                <w:b w:val="0"/>
                <w:bCs w:val="0"/>
                <w:color w:val="auto"/>
                <w:sz w:val="21"/>
                <w:szCs w:val="21"/>
                <w:highlight w:val="none"/>
                <w:u w:val="none"/>
                <w:lang w:val="en-US" w:eastAsia="zh-CN"/>
              </w:rPr>
              <w:t>；</w:t>
            </w:r>
            <w:r>
              <w:rPr>
                <w:rFonts w:hint="eastAsia" w:eastAsia="宋体" w:cs="Times New Roman"/>
                <w:b w:val="0"/>
                <w:bCs w:val="0"/>
                <w:color w:val="auto"/>
                <w:sz w:val="21"/>
                <w:szCs w:val="21"/>
                <w:u w:val="none"/>
                <w:lang w:val="en-US" w:eastAsia="zh-CN"/>
              </w:rPr>
              <w:t>⑤</w:t>
            </w:r>
            <w:r>
              <w:rPr>
                <w:rFonts w:hint="default" w:ascii="Times New Roman" w:hAnsi="Times New Roman" w:eastAsia="宋体" w:cs="Times New Roman"/>
                <w:b w:val="0"/>
                <w:bCs w:val="0"/>
                <w:color w:val="auto"/>
                <w:sz w:val="21"/>
                <w:szCs w:val="21"/>
                <w:u w:val="none"/>
                <w:lang w:val="en-US" w:eastAsia="zh-CN"/>
              </w:rPr>
              <w:t>燃气蒸汽锅炉</w:t>
            </w:r>
            <w:r>
              <w:rPr>
                <w:rFonts w:hint="eastAsia" w:eastAsia="宋体" w:cs="Times New Roman"/>
                <w:b w:val="0"/>
                <w:bCs w:val="0"/>
                <w:color w:val="auto"/>
                <w:sz w:val="21"/>
                <w:szCs w:val="21"/>
                <w:u w:val="none"/>
                <w:lang w:val="en-US" w:eastAsia="zh-CN"/>
              </w:rPr>
              <w:t>废气</w:t>
            </w:r>
            <w:r>
              <w:rPr>
                <w:rFonts w:hint="eastAsia" w:eastAsia="宋体" w:cs="Times New Roman"/>
                <w:snapToGrid/>
                <w:color w:val="auto"/>
                <w:spacing w:val="0"/>
                <w:w w:val="100"/>
                <w:kern w:val="0"/>
                <w:position w:val="0"/>
                <w:sz w:val="21"/>
                <w:szCs w:val="21"/>
                <w:lang w:val="en-US" w:eastAsia="zh-CN" w:bidi="ar-SA"/>
              </w:rPr>
              <w:t>：</w:t>
            </w:r>
            <w:r>
              <w:rPr>
                <w:rFonts w:hint="default" w:ascii="Times New Roman" w:hAnsi="Times New Roman" w:eastAsia="宋体" w:cs="Times New Roman"/>
                <w:b w:val="0"/>
                <w:bCs w:val="0"/>
                <w:color w:val="auto"/>
                <w:sz w:val="21"/>
                <w:szCs w:val="21"/>
                <w:u w:val="none"/>
                <w:lang w:val="en-US" w:eastAsia="zh-CN"/>
              </w:rPr>
              <w:t>低氮燃烧器+8m排气筒</w:t>
            </w:r>
            <w:r>
              <w:rPr>
                <w:rFonts w:hint="eastAsia" w:eastAsia="宋体" w:cs="Times New Roman"/>
                <w:b w:val="0"/>
                <w:bCs w:val="0"/>
                <w:color w:val="auto"/>
                <w:sz w:val="21"/>
                <w:szCs w:val="21"/>
                <w:u w:val="none"/>
                <w:lang w:val="en-US" w:eastAsia="zh-CN"/>
              </w:rPr>
              <w:t>⑥</w:t>
            </w:r>
            <w:r>
              <w:rPr>
                <w:rFonts w:hint="default" w:ascii="Times New Roman" w:hAnsi="Times New Roman" w:eastAsia="宋体" w:cs="Times New Roman"/>
                <w:snapToGrid/>
                <w:color w:val="auto"/>
                <w:spacing w:val="0"/>
                <w:w w:val="100"/>
                <w:kern w:val="0"/>
                <w:position w:val="0"/>
                <w:sz w:val="21"/>
                <w:szCs w:val="21"/>
                <w:lang w:val="en-US" w:eastAsia="zh-CN" w:bidi="ar-SA"/>
              </w:rPr>
              <w:t>骨料仓库骨料卸料</w:t>
            </w:r>
            <w:r>
              <w:rPr>
                <w:rFonts w:hint="default" w:ascii="Times New Roman" w:hAnsi="Times New Roman" w:eastAsia="宋体" w:cs="Times New Roman"/>
                <w:b w:val="0"/>
                <w:bCs w:val="0"/>
                <w:color w:val="auto"/>
                <w:sz w:val="21"/>
                <w:szCs w:val="21"/>
                <w:u w:val="none"/>
                <w:lang w:val="en-US" w:eastAsia="zh-CN"/>
              </w:rPr>
              <w:t>过程</w:t>
            </w:r>
            <w:r>
              <w:rPr>
                <w:rFonts w:hint="eastAsia" w:eastAsia="宋体" w:cs="Times New Roman"/>
                <w:b w:val="0"/>
                <w:bCs w:val="0"/>
                <w:color w:val="auto"/>
                <w:sz w:val="21"/>
                <w:szCs w:val="21"/>
                <w:u w:val="none"/>
                <w:lang w:val="en-US" w:eastAsia="zh-CN"/>
              </w:rPr>
              <w:t>：</w:t>
            </w:r>
            <w:r>
              <w:rPr>
                <w:rFonts w:hint="default" w:ascii="Times New Roman" w:hAnsi="Times New Roman" w:eastAsia="宋体" w:cs="Times New Roman"/>
                <w:color w:val="auto"/>
                <w:sz w:val="21"/>
                <w:szCs w:val="21"/>
                <w:lang w:val="en-US" w:eastAsia="zh-CN"/>
              </w:rPr>
              <w:t>骨料仓库全密闭，地面硬化，顶部安装喷干雾系统，覆盖整个骨料仓库</w:t>
            </w:r>
            <w:r>
              <w:rPr>
                <w:rFonts w:hint="eastAsia" w:eastAsia="宋体" w:cs="Times New Roman"/>
                <w:color w:val="auto"/>
                <w:sz w:val="21"/>
                <w:szCs w:val="21"/>
                <w:lang w:val="en-US" w:eastAsia="zh-CN"/>
              </w:rPr>
              <w:t>；</w:t>
            </w:r>
            <w:r>
              <w:rPr>
                <w:rFonts w:hint="eastAsia" w:eastAsia="宋体" w:cs="Times New Roman"/>
                <w:b w:val="0"/>
                <w:bCs w:val="0"/>
                <w:color w:val="auto"/>
                <w:sz w:val="21"/>
                <w:szCs w:val="21"/>
                <w:u w:val="none"/>
                <w:lang w:val="en-US" w:eastAsia="zh-CN"/>
              </w:rPr>
              <w:t>⑦</w:t>
            </w:r>
            <w:r>
              <w:rPr>
                <w:rFonts w:hint="default" w:ascii="Times New Roman" w:hAnsi="Times New Roman" w:eastAsia="宋体" w:cs="Times New Roman"/>
                <w:bCs/>
                <w:snapToGrid/>
                <w:color w:val="auto"/>
                <w:spacing w:val="0"/>
                <w:w w:val="100"/>
                <w:kern w:val="0"/>
                <w:position w:val="0"/>
                <w:sz w:val="21"/>
                <w:szCs w:val="21"/>
                <w:lang w:val="en-US" w:eastAsia="zh-CN"/>
              </w:rPr>
              <w:t>粉料入仓</w:t>
            </w:r>
            <w:r>
              <w:rPr>
                <w:rFonts w:hint="default" w:ascii="Times New Roman" w:hAnsi="Times New Roman" w:eastAsia="宋体" w:cs="Times New Roman"/>
                <w:b w:val="0"/>
                <w:bCs w:val="0"/>
                <w:color w:val="auto"/>
                <w:sz w:val="21"/>
                <w:szCs w:val="21"/>
                <w:u w:val="none"/>
                <w:lang w:val="en-US" w:eastAsia="zh-CN"/>
              </w:rPr>
              <w:t>过程</w:t>
            </w:r>
            <w:r>
              <w:rPr>
                <w:rFonts w:hint="eastAsia" w:eastAsia="宋体" w:cs="Times New Roman"/>
                <w:b w:val="0"/>
                <w:bCs w:val="0"/>
                <w:color w:val="auto"/>
                <w:sz w:val="21"/>
                <w:szCs w:val="21"/>
                <w:u w:val="none"/>
                <w:lang w:val="en-US" w:eastAsia="zh-CN"/>
              </w:rPr>
              <w:t>粉尘：</w:t>
            </w:r>
            <w:r>
              <w:rPr>
                <w:rFonts w:hint="default" w:ascii="Times New Roman" w:hAnsi="Times New Roman" w:eastAsia="宋体" w:cs="Times New Roman"/>
                <w:b w:val="0"/>
                <w:bCs w:val="0"/>
                <w:color w:val="auto"/>
                <w:sz w:val="21"/>
                <w:szCs w:val="21"/>
                <w:u w:val="none"/>
                <w:lang w:val="en-US" w:eastAsia="zh-CN"/>
              </w:rPr>
              <w:t>筒仓四周密闭，经仓顶自带除尘器处理后在车间排放</w:t>
            </w:r>
            <w:r>
              <w:rPr>
                <w:rFonts w:hint="eastAsia" w:eastAsia="宋体" w:cs="Times New Roman"/>
                <w:b w:val="0"/>
                <w:bCs w:val="0"/>
                <w:color w:val="auto"/>
                <w:sz w:val="21"/>
                <w:szCs w:val="21"/>
                <w:u w:val="none"/>
                <w:lang w:val="en-US" w:eastAsia="zh-CN"/>
              </w:rPr>
              <w:t>；</w:t>
            </w:r>
            <w:r>
              <w:rPr>
                <w:rFonts w:hint="eastAsia" w:cs="Times New Roman"/>
                <w:b w:val="0"/>
                <w:bCs w:val="0"/>
                <w:color w:val="auto"/>
                <w:sz w:val="21"/>
                <w:szCs w:val="21"/>
                <w:u w:val="none"/>
                <w:lang w:val="en-US" w:eastAsia="zh-CN"/>
              </w:rPr>
              <w:t>⑧</w:t>
            </w:r>
            <w:r>
              <w:rPr>
                <w:rFonts w:hint="default" w:ascii="Times New Roman" w:hAnsi="Times New Roman" w:eastAsia="宋体" w:cs="Times New Roman"/>
                <w:color w:val="auto"/>
                <w:sz w:val="21"/>
                <w:szCs w:val="21"/>
              </w:rPr>
              <w:t>车辆运输扬尘</w:t>
            </w:r>
            <w:r>
              <w:rPr>
                <w:rFonts w:hint="eastAsia" w:eastAsia="宋体" w:cs="Times New Roman"/>
                <w:color w:val="auto"/>
                <w:sz w:val="21"/>
                <w:szCs w:val="21"/>
                <w:lang w:eastAsia="zh-CN"/>
              </w:rPr>
              <w:t>：</w:t>
            </w:r>
            <w:r>
              <w:rPr>
                <w:rFonts w:hint="default" w:ascii="Times New Roman" w:hAnsi="Times New Roman" w:eastAsia="宋体" w:cs="Times New Roman"/>
                <w:b w:val="0"/>
                <w:bCs w:val="0"/>
                <w:color w:val="auto"/>
                <w:sz w:val="21"/>
                <w:szCs w:val="21"/>
                <w:u w:val="none"/>
                <w:vertAlign w:val="baseline"/>
                <w:lang w:val="en-US" w:eastAsia="zh-CN"/>
              </w:rPr>
              <w:t>及时对厂区内地面进行洒水降尘、清扫；汽车进入厂区后要减速慢行；砂和石子运输车辆要封闭遮盖，粉料采用密闭罐车运输，减少原料的散落；运输车辆进出厂区，在厂区出入口使用车辆冲洗设施对出入厂车辆及其底盘进行冲洗，严禁带泥上路</w:t>
            </w:r>
            <w:r>
              <w:rPr>
                <w:rFonts w:hint="eastAsia" w:eastAsia="宋体" w:cs="Times New Roman"/>
                <w:b w:val="0"/>
                <w:bCs w:val="0"/>
                <w:color w:val="auto"/>
                <w:sz w:val="21"/>
                <w:szCs w:val="21"/>
                <w:u w:val="none"/>
                <w:vertAlign w:val="baseline"/>
                <w:lang w:val="en-US" w:eastAsia="zh-CN"/>
              </w:rPr>
              <w:t>，</w:t>
            </w:r>
            <w:r>
              <w:rPr>
                <w:rFonts w:hint="default" w:ascii="Times New Roman" w:hAnsi="Times New Roman" w:eastAsia="宋体" w:cs="Times New Roman"/>
                <w:b w:val="0"/>
                <w:bCs w:val="0"/>
                <w:color w:val="auto"/>
                <w:sz w:val="21"/>
                <w:szCs w:val="21"/>
                <w:u w:val="none"/>
                <w:vertAlign w:val="baseline"/>
                <w:lang w:val="en-US" w:eastAsia="zh-CN"/>
              </w:rPr>
              <w:t>保持周边道路环境清洁。</w:t>
            </w:r>
          </w:p>
          <w:p>
            <w:pPr>
              <w:keepNext w:val="0"/>
              <w:keepLines w:val="0"/>
              <w:pageBreakBefore w:val="0"/>
              <w:numPr>
                <w:ilvl w:val="0"/>
                <w:numId w:val="1"/>
              </w:numPr>
              <w:suppressLineNumbers w:val="0"/>
              <w:kinsoku/>
              <w:wordWrap/>
              <w:overflowPunct/>
              <w:topLinePunct w:val="0"/>
              <w:autoSpaceDE/>
              <w:autoSpaceDN/>
              <w:bidi w:val="0"/>
              <w:adjustRightInd/>
              <w:snapToGrid/>
              <w:spacing w:before="0" w:beforeAutospacing="0" w:after="0" w:afterAutospacing="0" w:line="280" w:lineRule="exact"/>
              <w:ind w:left="0" w:right="0" w:firstLine="0" w:firstLineChars="0"/>
              <w:jc w:val="both"/>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cs="Times New Roman"/>
                <w:kern w:val="2"/>
                <w:sz w:val="21"/>
                <w:szCs w:val="21"/>
                <w:lang w:val="en-US" w:eastAsia="zh-CN" w:bidi="ar-SA"/>
              </w:rPr>
              <w:t>3</w:t>
            </w:r>
            <w:r>
              <w:rPr>
                <w:rFonts w:hint="default" w:ascii="Times New Roman" w:hAnsi="Times New Roman" w:cs="Times New Roman"/>
                <w:kern w:val="2"/>
                <w:sz w:val="21"/>
                <w:szCs w:val="21"/>
                <w:lang w:val="en-US" w:eastAsia="zh-CN" w:bidi="ar-SA"/>
              </w:rPr>
              <w:t>、噪声：</w:t>
            </w:r>
            <w:r>
              <w:rPr>
                <w:rFonts w:hint="eastAsia" w:ascii="Times New Roman" w:hAnsi="Times New Roman" w:cs="Times New Roman"/>
                <w:sz w:val="21"/>
                <w:szCs w:val="21"/>
                <w:lang w:val="en-US" w:eastAsia="zh-CN"/>
              </w:rPr>
              <w:t>工程选用低噪声设备，采取减振、隔声等降噪措施对设备噪声进行控制，各厂界噪声应满足《工业企业厂界</w:t>
            </w:r>
            <w:r>
              <w:rPr>
                <w:rFonts w:hint="eastAsia" w:ascii="Times New Roman" w:hAnsi="Times New Roman" w:eastAsia="宋体" w:cs="Times New Roman"/>
                <w:color w:val="auto"/>
                <w:sz w:val="21"/>
                <w:szCs w:val="21"/>
                <w:lang w:val="en-US" w:eastAsia="zh-CN"/>
              </w:rPr>
              <w:t>环境噪声排放标准》（</w:t>
            </w:r>
            <w:r>
              <w:rPr>
                <w:rFonts w:hint="default" w:ascii="Times New Roman" w:hAnsi="Times New Roman" w:eastAsia="宋体" w:cs="Times New Roman"/>
                <w:color w:val="auto"/>
                <w:sz w:val="21"/>
                <w:szCs w:val="21"/>
                <w:lang w:val="en-US" w:eastAsia="zh-CN"/>
              </w:rPr>
              <w:t>GB12348-2008</w:t>
            </w:r>
            <w:r>
              <w:rPr>
                <w:rFonts w:hint="eastAsia" w:ascii="Times New Roman" w:hAnsi="Times New Roman" w:eastAsia="宋体" w:cs="Times New Roman"/>
                <w:color w:val="auto"/>
                <w:sz w:val="21"/>
                <w:szCs w:val="21"/>
                <w:lang w:val="en-US" w:eastAsia="zh-CN"/>
              </w:rPr>
              <w:t>）2类标准要求。</w:t>
            </w:r>
          </w:p>
          <w:p>
            <w:pPr>
              <w:keepNext w:val="0"/>
              <w:keepLines w:val="0"/>
              <w:pageBreakBefore w:val="0"/>
              <w:numPr>
                <w:ilvl w:val="0"/>
                <w:numId w:val="1"/>
              </w:numPr>
              <w:suppressLineNumbers w:val="0"/>
              <w:kinsoku/>
              <w:wordWrap/>
              <w:overflowPunct/>
              <w:topLinePunct w:val="0"/>
              <w:autoSpaceDE/>
              <w:autoSpaceDN/>
              <w:bidi w:val="0"/>
              <w:adjustRightInd/>
              <w:snapToGrid/>
              <w:spacing w:before="0" w:beforeAutospacing="0" w:after="0" w:afterAutospacing="0" w:line="280" w:lineRule="exact"/>
              <w:ind w:left="0" w:right="0" w:firstLine="0" w:firstLineChars="0"/>
              <w:jc w:val="both"/>
              <w:textAlignment w:val="auto"/>
              <w:outlineLvl w:val="9"/>
              <w:rPr>
                <w:rFonts w:hint="default"/>
                <w:lang w:val="en-US" w:eastAsia="zh-CN"/>
              </w:rPr>
            </w:pPr>
            <w:r>
              <w:rPr>
                <w:rFonts w:hint="eastAsia" w:ascii="Times New Roman" w:hAnsi="Times New Roman" w:eastAsia="宋体" w:cs="Times New Roman"/>
                <w:color w:val="auto"/>
                <w:sz w:val="21"/>
                <w:szCs w:val="21"/>
                <w:lang w:val="en-US" w:eastAsia="zh-CN"/>
              </w:rPr>
              <w:t>4</w:t>
            </w:r>
            <w:r>
              <w:rPr>
                <w:rFonts w:hint="default" w:ascii="Times New Roman" w:hAnsi="Times New Roman" w:eastAsia="宋体" w:cs="Times New Roman"/>
                <w:color w:val="auto"/>
                <w:sz w:val="21"/>
                <w:szCs w:val="21"/>
                <w:lang w:val="en-US" w:eastAsia="zh-CN"/>
              </w:rPr>
              <w:t>、项目固体废物主要为一般固废。一般固废为</w:t>
            </w:r>
            <w:r>
              <w:rPr>
                <w:rFonts w:hint="eastAsia" w:ascii="Times New Roman" w:hAnsi="Times New Roman" w:eastAsia="宋体" w:cs="Times New Roman"/>
                <w:color w:val="auto"/>
                <w:sz w:val="21"/>
                <w:szCs w:val="21"/>
                <w:lang w:val="en-US" w:eastAsia="zh-CN"/>
              </w:rPr>
              <w:t>砂石分离机分离出的砂石、沉淀池沉泥、除尘器收集的粉尘、实验废料、</w:t>
            </w:r>
            <w:r>
              <w:rPr>
                <w:rFonts w:hint="default" w:ascii="Times New Roman" w:hAnsi="Times New Roman" w:eastAsia="宋体" w:cs="Times New Roman"/>
                <w:color w:val="auto"/>
                <w:sz w:val="21"/>
                <w:szCs w:val="21"/>
                <w:lang w:val="en-US" w:eastAsia="zh-CN"/>
              </w:rPr>
              <w:t>生活垃圾</w:t>
            </w:r>
            <w:r>
              <w:rPr>
                <w:rFonts w:hint="eastAsia" w:ascii="Times New Roman" w:hAnsi="Times New Roman" w:eastAsia="宋体" w:cs="Times New Roman"/>
                <w:color w:val="auto"/>
                <w:sz w:val="21"/>
                <w:szCs w:val="21"/>
                <w:lang w:val="en-US" w:eastAsia="zh-CN"/>
              </w:rPr>
              <w:t>。砂石分离机分离出的砂石收集后可回用于生产，除尘器收集的粉尘经密闭容器收集后收回用于生产；沉淀池沉泥经</w:t>
            </w:r>
            <w:r>
              <w:rPr>
                <w:rFonts w:hint="default" w:ascii="Times New Roman" w:hAnsi="Times New Roman" w:eastAsia="宋体" w:cs="Times New Roman"/>
                <w:color w:val="auto"/>
                <w:sz w:val="21"/>
                <w:szCs w:val="21"/>
                <w:lang w:val="en-US" w:eastAsia="zh-CN"/>
              </w:rPr>
              <w:t>密闭容器收集，</w:t>
            </w:r>
            <w:r>
              <w:rPr>
                <w:rFonts w:hint="eastAsia" w:ascii="Times New Roman" w:hAnsi="Times New Roman" w:eastAsia="宋体" w:cs="Times New Roman"/>
                <w:color w:val="auto"/>
                <w:sz w:val="21"/>
                <w:szCs w:val="21"/>
                <w:lang w:val="en-US" w:eastAsia="zh-CN"/>
              </w:rPr>
              <w:t>一般固废暂存间</w:t>
            </w:r>
            <w:r>
              <w:rPr>
                <w:rFonts w:hint="default" w:ascii="Times New Roman" w:hAnsi="Times New Roman" w:eastAsia="宋体" w:cs="Times New Roman"/>
                <w:color w:val="auto"/>
                <w:sz w:val="21"/>
                <w:szCs w:val="21"/>
                <w:lang w:val="en-US" w:eastAsia="zh-CN"/>
              </w:rPr>
              <w:t>暂存</w:t>
            </w:r>
            <w:r>
              <w:rPr>
                <w:rFonts w:hint="eastAsia" w:ascii="Times New Roman" w:hAnsi="Times New Roman" w:eastAsia="宋体" w:cs="Times New Roman"/>
                <w:color w:val="auto"/>
                <w:sz w:val="21"/>
                <w:szCs w:val="21"/>
                <w:lang w:val="en-US" w:eastAsia="zh-CN"/>
              </w:rPr>
              <w:t>后</w:t>
            </w:r>
            <w:r>
              <w:rPr>
                <w:rFonts w:hint="default" w:ascii="Times New Roman" w:hAnsi="Times New Roman" w:eastAsia="宋体" w:cs="Times New Roman"/>
                <w:color w:val="auto"/>
                <w:sz w:val="21"/>
                <w:szCs w:val="21"/>
                <w:lang w:val="en-US" w:eastAsia="zh-CN"/>
              </w:rPr>
              <w:t>，</w:t>
            </w:r>
            <w:r>
              <w:rPr>
                <w:rFonts w:hint="eastAsia" w:ascii="Times New Roman" w:hAnsi="Times New Roman" w:eastAsia="宋体" w:cs="Times New Roman"/>
                <w:color w:val="auto"/>
                <w:sz w:val="21"/>
                <w:szCs w:val="21"/>
                <w:lang w:val="en-US" w:eastAsia="zh-CN"/>
              </w:rPr>
              <w:t>由</w:t>
            </w:r>
            <w:r>
              <w:rPr>
                <w:rFonts w:hint="default" w:ascii="Times New Roman" w:hAnsi="Times New Roman" w:eastAsia="宋体" w:cs="Times New Roman"/>
                <w:color w:val="auto"/>
                <w:sz w:val="21"/>
                <w:szCs w:val="21"/>
                <w:lang w:val="en-US" w:eastAsia="zh-CN"/>
              </w:rPr>
              <w:t>环卫部门清运处理</w:t>
            </w:r>
            <w:r>
              <w:rPr>
                <w:rFonts w:hint="eastAsia" w:ascii="Times New Roman" w:hAnsi="Times New Roman" w:eastAsia="宋体" w:cs="Times New Roman"/>
                <w:color w:val="auto"/>
                <w:sz w:val="21"/>
                <w:szCs w:val="21"/>
                <w:lang w:val="en-US" w:eastAsia="zh-CN"/>
              </w:rPr>
              <w:t>；实验废料用于场地及道路填料使用；生活垃圾圾桶收集后交环卫部门定期清运。</w:t>
            </w:r>
          </w:p>
        </w:tc>
      </w:tr>
    </w:tbl>
    <w:p>
      <w:bookmarkStart w:id="0" w:name="_GoBack"/>
      <w:bookmarkEnd w:id="0"/>
    </w:p>
    <w:sectPr>
      <w:pgSz w:w="16838" w:h="11906" w:orient="landscape"/>
      <w:pgMar w:top="1474" w:right="1588" w:bottom="1474" w:left="136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7CC111"/>
    <w:multiLevelType w:val="singleLevel"/>
    <w:tmpl w:val="007CC111"/>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docVars>
    <w:docVar w:name="commondata" w:val="eyJoZGlkIjoiNjE0NGUwZWRhZTVhZmE4MjA4MmQyYTUwNjg2MGE2OWMifQ=="/>
  </w:docVars>
  <w:rsids>
    <w:rsidRoot w:val="02F72450"/>
    <w:rsid w:val="00013EB8"/>
    <w:rsid w:val="00032F7A"/>
    <w:rsid w:val="00056DA8"/>
    <w:rsid w:val="000D0072"/>
    <w:rsid w:val="000E774C"/>
    <w:rsid w:val="000F7BBC"/>
    <w:rsid w:val="001064C0"/>
    <w:rsid w:val="00120DB2"/>
    <w:rsid w:val="00173A9D"/>
    <w:rsid w:val="00175A80"/>
    <w:rsid w:val="001A591F"/>
    <w:rsid w:val="001C1B69"/>
    <w:rsid w:val="001D10B4"/>
    <w:rsid w:val="001E1D08"/>
    <w:rsid w:val="001E2A8D"/>
    <w:rsid w:val="00221BD9"/>
    <w:rsid w:val="0023520D"/>
    <w:rsid w:val="00244621"/>
    <w:rsid w:val="00251348"/>
    <w:rsid w:val="00282012"/>
    <w:rsid w:val="002A404E"/>
    <w:rsid w:val="002C175F"/>
    <w:rsid w:val="00321146"/>
    <w:rsid w:val="003955E9"/>
    <w:rsid w:val="003C6E0F"/>
    <w:rsid w:val="003E38AB"/>
    <w:rsid w:val="00465F79"/>
    <w:rsid w:val="004700C1"/>
    <w:rsid w:val="00483ED3"/>
    <w:rsid w:val="004B5F52"/>
    <w:rsid w:val="004E746F"/>
    <w:rsid w:val="00500BAA"/>
    <w:rsid w:val="00627E03"/>
    <w:rsid w:val="006322A0"/>
    <w:rsid w:val="00641BB9"/>
    <w:rsid w:val="006A377F"/>
    <w:rsid w:val="006E5D8B"/>
    <w:rsid w:val="006F12C2"/>
    <w:rsid w:val="006F4CFC"/>
    <w:rsid w:val="00711BC6"/>
    <w:rsid w:val="00716C75"/>
    <w:rsid w:val="00773AA5"/>
    <w:rsid w:val="00777949"/>
    <w:rsid w:val="007A1B2D"/>
    <w:rsid w:val="007A4004"/>
    <w:rsid w:val="007B1A2A"/>
    <w:rsid w:val="007F2CA0"/>
    <w:rsid w:val="00801EBC"/>
    <w:rsid w:val="00890BAD"/>
    <w:rsid w:val="008918E7"/>
    <w:rsid w:val="008B1FCE"/>
    <w:rsid w:val="008D1DD5"/>
    <w:rsid w:val="008F5F29"/>
    <w:rsid w:val="0096378F"/>
    <w:rsid w:val="009A1DCD"/>
    <w:rsid w:val="009D41E1"/>
    <w:rsid w:val="009F468C"/>
    <w:rsid w:val="00A1704C"/>
    <w:rsid w:val="00A222A2"/>
    <w:rsid w:val="00A266EB"/>
    <w:rsid w:val="00A415AC"/>
    <w:rsid w:val="00A96FA6"/>
    <w:rsid w:val="00B07FE8"/>
    <w:rsid w:val="00B25D63"/>
    <w:rsid w:val="00B42394"/>
    <w:rsid w:val="00B55070"/>
    <w:rsid w:val="00B82A97"/>
    <w:rsid w:val="00B95730"/>
    <w:rsid w:val="00BB1E68"/>
    <w:rsid w:val="00C00B05"/>
    <w:rsid w:val="00C60A64"/>
    <w:rsid w:val="00CD777E"/>
    <w:rsid w:val="00CF6E04"/>
    <w:rsid w:val="00D041D9"/>
    <w:rsid w:val="00D22F60"/>
    <w:rsid w:val="00D83101"/>
    <w:rsid w:val="00D834E3"/>
    <w:rsid w:val="00DB2071"/>
    <w:rsid w:val="00DC090E"/>
    <w:rsid w:val="00DD3551"/>
    <w:rsid w:val="00E02BC4"/>
    <w:rsid w:val="00E05300"/>
    <w:rsid w:val="00E27F07"/>
    <w:rsid w:val="00E96B62"/>
    <w:rsid w:val="00F46C03"/>
    <w:rsid w:val="00F60A70"/>
    <w:rsid w:val="00F855AC"/>
    <w:rsid w:val="00F94B8F"/>
    <w:rsid w:val="02F72450"/>
    <w:rsid w:val="06600C79"/>
    <w:rsid w:val="07AF1E67"/>
    <w:rsid w:val="114105BA"/>
    <w:rsid w:val="1B7C72FE"/>
    <w:rsid w:val="1D713B37"/>
    <w:rsid w:val="1D8A2DE1"/>
    <w:rsid w:val="1FCD1D53"/>
    <w:rsid w:val="31EA3933"/>
    <w:rsid w:val="36865A1B"/>
    <w:rsid w:val="375006D7"/>
    <w:rsid w:val="3B9C0577"/>
    <w:rsid w:val="3DA03245"/>
    <w:rsid w:val="41496E60"/>
    <w:rsid w:val="42DC5B4D"/>
    <w:rsid w:val="444306B4"/>
    <w:rsid w:val="444B5A71"/>
    <w:rsid w:val="487D4D62"/>
    <w:rsid w:val="4F685691"/>
    <w:rsid w:val="50137DC6"/>
    <w:rsid w:val="57690E03"/>
    <w:rsid w:val="5F6E6039"/>
    <w:rsid w:val="620F0E3C"/>
    <w:rsid w:val="62A77163"/>
    <w:rsid w:val="63C17BCC"/>
    <w:rsid w:val="774F11FF"/>
    <w:rsid w:val="7B4366D9"/>
    <w:rsid w:val="7FA15F8E"/>
    <w:rsid w:val="7FAA66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0"/>
    <w:pPr>
      <w:keepNext/>
      <w:keepLines/>
      <w:tabs>
        <w:tab w:val="left" w:pos="1230"/>
      </w:tabs>
      <w:spacing w:before="240" w:after="120"/>
      <w:ind w:left="1230" w:hanging="1230"/>
      <w:jc w:val="center"/>
      <w:outlineLvl w:val="0"/>
    </w:pPr>
    <w:rPr>
      <w:rFonts w:eastAsia="黑体"/>
      <w:b/>
      <w:bCs/>
      <w:kern w:val="44"/>
      <w:sz w:val="42"/>
    </w:rPr>
  </w:style>
  <w:style w:type="character" w:default="1" w:styleId="15">
    <w:name w:val="Default Paragraph Font"/>
    <w:semiHidden/>
    <w:unhideWhenUsed/>
    <w:qFormat/>
    <w:uiPriority w:val="1"/>
  </w:style>
  <w:style w:type="table" w:default="1" w:styleId="13">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customStyle="1" w:styleId="2">
    <w:name w:val="Default"/>
    <w:basedOn w:val="3"/>
    <w:next w:val="4"/>
    <w:qFormat/>
    <w:uiPriority w:val="0"/>
    <w:pPr>
      <w:widowControl w:val="0"/>
      <w:autoSpaceDE w:val="0"/>
      <w:autoSpaceDN w:val="0"/>
      <w:adjustRightInd/>
      <w:spacing w:line="500" w:lineRule="exact"/>
    </w:pPr>
    <w:rPr>
      <w:rFonts w:ascii="宋体" w:hAnsi="宋体" w:eastAsia="宋体" w:cs="宋体"/>
      <w:color w:val="000000"/>
      <w:sz w:val="24"/>
      <w:szCs w:val="24"/>
      <w:lang w:val="en-US" w:eastAsia="zh-CN" w:bidi="ar-SA"/>
    </w:rPr>
  </w:style>
  <w:style w:type="paragraph" w:customStyle="1" w:styleId="3">
    <w:name w:val="纯文本1"/>
    <w:basedOn w:val="1"/>
    <w:qFormat/>
    <w:uiPriority w:val="0"/>
    <w:pPr>
      <w:adjustRightInd w:val="0"/>
    </w:pPr>
    <w:rPr>
      <w:rFonts w:ascii="宋体" w:hAnsi="Courier New"/>
      <w:szCs w:val="20"/>
    </w:rPr>
  </w:style>
  <w:style w:type="paragraph" w:styleId="4">
    <w:name w:val="Plain Text"/>
    <w:basedOn w:val="1"/>
    <w:unhideWhenUsed/>
    <w:uiPriority w:val="99"/>
    <w:rPr>
      <w:rFonts w:ascii="宋体" w:hAnsi="Courier New"/>
    </w:rPr>
  </w:style>
  <w:style w:type="paragraph" w:styleId="6">
    <w:name w:val="Normal Indent"/>
    <w:basedOn w:val="1"/>
    <w:link w:val="19"/>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eastAsia="宋体" w:cs="Times New Roman"/>
      <w:kern w:val="2"/>
      <w:sz w:val="21"/>
      <w:szCs w:val="20"/>
      <w:lang w:val="en-US" w:eastAsia="zh-CN" w:bidi="ar"/>
    </w:rPr>
  </w:style>
  <w:style w:type="paragraph" w:styleId="7">
    <w:name w:val="Body Text"/>
    <w:basedOn w:val="1"/>
    <w:link w:val="18"/>
    <w:qFormat/>
    <w:uiPriority w:val="0"/>
    <w:pPr>
      <w:spacing w:after="120" w:afterLines="0" w:afterAutospacing="0"/>
    </w:pPr>
  </w:style>
  <w:style w:type="paragraph" w:styleId="8">
    <w:name w:val="Body Text Indent"/>
    <w:basedOn w:val="1"/>
    <w:unhideWhenUsed/>
    <w:qFormat/>
    <w:uiPriority w:val="99"/>
    <w:pPr>
      <w:spacing w:after="120"/>
      <w:ind w:left="420" w:leftChars="200"/>
    </w:pPr>
    <w:rPr>
      <w:kern w:val="0"/>
      <w:sz w:val="24"/>
      <w:szCs w:val="20"/>
    </w:rPr>
  </w:style>
  <w:style w:type="paragraph" w:styleId="9">
    <w:name w:val="Block Text"/>
    <w:basedOn w:val="1"/>
    <w:next w:val="1"/>
    <w:qFormat/>
    <w:uiPriority w:val="0"/>
    <w:pPr>
      <w:snapToGrid w:val="0"/>
      <w:spacing w:before="100" w:beforeAutospacing="1" w:after="100" w:afterAutospacing="1" w:line="408" w:lineRule="auto"/>
      <w:ind w:left="-113" w:right="-510" w:firstLine="510"/>
    </w:pPr>
  </w:style>
  <w:style w:type="paragraph" w:styleId="10">
    <w:name w:val="footer"/>
    <w:basedOn w:val="1"/>
    <w:link w:val="17"/>
    <w:qFormat/>
    <w:uiPriority w:val="0"/>
    <w:pPr>
      <w:tabs>
        <w:tab w:val="center" w:pos="4153"/>
        <w:tab w:val="right" w:pos="8306"/>
      </w:tabs>
      <w:snapToGrid w:val="0"/>
      <w:jc w:val="left"/>
    </w:pPr>
    <w:rPr>
      <w:sz w:val="18"/>
      <w:szCs w:val="18"/>
    </w:rPr>
  </w:style>
  <w:style w:type="paragraph" w:styleId="11">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12">
    <w:name w:val="Body Text First Indent 2"/>
    <w:basedOn w:val="8"/>
    <w:next w:val="1"/>
    <w:unhideWhenUsed/>
    <w:qFormat/>
    <w:uiPriority w:val="0"/>
    <w:pPr>
      <w:spacing w:after="120"/>
      <w:ind w:left="420" w:leftChars="200" w:firstLine="420"/>
    </w:pPr>
  </w:style>
  <w:style w:type="table" w:styleId="14">
    <w:name w:val="Table Grid"/>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6">
    <w:name w:val="页眉 Char"/>
    <w:basedOn w:val="15"/>
    <w:link w:val="11"/>
    <w:qFormat/>
    <w:uiPriority w:val="0"/>
    <w:rPr>
      <w:kern w:val="2"/>
      <w:sz w:val="18"/>
      <w:szCs w:val="18"/>
    </w:rPr>
  </w:style>
  <w:style w:type="character" w:customStyle="1" w:styleId="17">
    <w:name w:val="页脚 Char"/>
    <w:basedOn w:val="15"/>
    <w:link w:val="10"/>
    <w:qFormat/>
    <w:uiPriority w:val="0"/>
    <w:rPr>
      <w:kern w:val="2"/>
      <w:sz w:val="18"/>
      <w:szCs w:val="18"/>
    </w:rPr>
  </w:style>
  <w:style w:type="character" w:customStyle="1" w:styleId="18">
    <w:name w:val="正文文本 Char"/>
    <w:basedOn w:val="15"/>
    <w:link w:val="7"/>
    <w:qFormat/>
    <w:uiPriority w:val="0"/>
    <w:rPr>
      <w:kern w:val="2"/>
      <w:sz w:val="21"/>
    </w:rPr>
  </w:style>
  <w:style w:type="character" w:customStyle="1" w:styleId="19">
    <w:name w:val="正文缩进 Char"/>
    <w:basedOn w:val="15"/>
    <w:link w:val="6"/>
    <w:qFormat/>
    <w:uiPriority w:val="0"/>
    <w:rPr>
      <w:kern w:val="2"/>
      <w:sz w:val="21"/>
    </w:rPr>
  </w:style>
  <w:style w:type="paragraph" w:styleId="20">
    <w:name w:val="List Paragraph"/>
    <w:basedOn w:val="1"/>
    <w:qFormat/>
    <w:uiPriority w:val="34"/>
    <w:pPr>
      <w:adjustRightInd w:val="0"/>
      <w:snapToGrid w:val="0"/>
      <w:spacing w:line="360" w:lineRule="auto"/>
      <w:ind w:firstLine="420" w:firstLineChars="200"/>
    </w:pPr>
    <w:rPr>
      <w:sz w:val="24"/>
    </w:rPr>
  </w:style>
  <w:style w:type="character" w:customStyle="1" w:styleId="21">
    <w:name w:val="报告正文 Char"/>
    <w:link w:val="22"/>
    <w:qFormat/>
    <w:uiPriority w:val="0"/>
    <w:rPr>
      <w:rFonts w:ascii="宋体" w:hAnsi="宋体"/>
      <w:sz w:val="28"/>
    </w:rPr>
  </w:style>
  <w:style w:type="paragraph" w:customStyle="1" w:styleId="22">
    <w:name w:val="报告正文"/>
    <w:basedOn w:val="1"/>
    <w:link w:val="21"/>
    <w:qFormat/>
    <w:uiPriority w:val="0"/>
    <w:pPr>
      <w:snapToGrid w:val="0"/>
      <w:spacing w:line="360" w:lineRule="auto"/>
      <w:ind w:firstLine="200" w:firstLineChars="200"/>
    </w:pPr>
    <w:rPr>
      <w:rFonts w:ascii="宋体" w:hAnsi="宋体"/>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1522</Words>
  <Characters>1601</Characters>
  <Lines>9</Lines>
  <Paragraphs>2</Paragraphs>
  <TotalTime>1</TotalTime>
  <ScaleCrop>false</ScaleCrop>
  <LinksUpToDate>false</LinksUpToDate>
  <CharactersWithSpaces>1601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2019-01-21T06:33:00Z</dcterms:created>
  <dc:creator>qiaqia</dc:creator>
  <cp:lastModifiedBy>南是故乡</cp:lastModifiedBy>
  <dcterms:modified xsi:type="dcterms:W3CDTF">2023-02-16T02:44:34Z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CBF00FE6FEC845468DDB65B2EEDF6528</vt:lpwstr>
  </property>
</Properties>
</file>