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sz w:val="24"/>
          <w:szCs w:val="24"/>
          <w:lang w:val="en-US" w:eastAsia="zh-CN"/>
        </w:rPr>
        <w:t xml:space="preserve">审批意见                                     </w:t>
      </w:r>
      <w:r>
        <w:rPr>
          <w:rFonts w:hint="eastAsia" w:ascii="宋体" w:hAnsi="宋体" w:eastAsia="宋体" w:cs="宋体"/>
          <w:b w:val="0"/>
          <w:bCs/>
          <w:color w:val="0000FF"/>
          <w:sz w:val="24"/>
          <w:szCs w:val="24"/>
          <w:lang w:val="en-US" w:eastAsia="zh-CN"/>
        </w:rPr>
        <w:t xml:space="preserve"> </w:t>
      </w:r>
      <w:r>
        <w:rPr>
          <w:rFonts w:hint="eastAsia" w:ascii="宋体" w:hAnsi="宋体" w:eastAsia="宋体" w:cs="宋体"/>
          <w:b w:val="0"/>
          <w:bCs/>
          <w:color w:val="FF0000"/>
          <w:sz w:val="24"/>
          <w:szCs w:val="24"/>
          <w:lang w:val="en-US" w:eastAsia="zh-CN"/>
        </w:rPr>
        <w:t xml:space="preserve"> </w:t>
      </w:r>
      <w:r>
        <w:rPr>
          <w:rFonts w:hint="eastAsia" w:ascii="宋体" w:hAnsi="宋体" w:cs="宋体"/>
          <w:b w:val="0"/>
          <w:bCs/>
          <w:color w:val="FF0000"/>
          <w:sz w:val="24"/>
          <w:szCs w:val="24"/>
          <w:lang w:val="en-US" w:eastAsia="zh-CN"/>
        </w:rPr>
        <w:t xml:space="preserve">     </w:t>
      </w:r>
      <w:r>
        <w:rPr>
          <w:rFonts w:hint="eastAsia" w:ascii="宋体" w:hAnsi="宋体" w:eastAsia="宋体" w:cs="宋体"/>
          <w:b w:val="0"/>
          <w:bCs/>
          <w:color w:val="auto"/>
          <w:sz w:val="24"/>
          <w:szCs w:val="24"/>
          <w:lang w:val="en-US" w:eastAsia="zh-CN"/>
        </w:rPr>
        <w:t xml:space="preserve"> 民环审[202</w:t>
      </w:r>
      <w:r>
        <w:rPr>
          <w:rFonts w:hint="eastAsia" w:ascii="宋体" w:hAnsi="宋体" w:cs="宋体"/>
          <w:b w:val="0"/>
          <w:bCs/>
          <w:color w:val="auto"/>
          <w:sz w:val="24"/>
          <w:szCs w:val="24"/>
          <w:lang w:val="en-US" w:eastAsia="zh-CN"/>
        </w:rPr>
        <w:t>3</w:t>
      </w:r>
      <w:r>
        <w:rPr>
          <w:rFonts w:hint="eastAsia" w:ascii="宋体" w:hAnsi="宋体" w:eastAsia="宋体" w:cs="宋体"/>
          <w:b w:val="0"/>
          <w:bCs/>
          <w:color w:val="auto"/>
          <w:sz w:val="24"/>
          <w:szCs w:val="24"/>
          <w:lang w:val="en-US" w:eastAsia="zh-CN"/>
        </w:rPr>
        <w:t>]第</w:t>
      </w:r>
      <w:r>
        <w:rPr>
          <w:rFonts w:hint="eastAsia" w:ascii="宋体" w:hAnsi="宋体" w:cs="宋体"/>
          <w:b w:val="0"/>
          <w:bCs/>
          <w:color w:val="auto"/>
          <w:sz w:val="24"/>
          <w:szCs w:val="24"/>
          <w:highlight w:val="none"/>
          <w:lang w:val="en-US" w:eastAsia="zh-CN"/>
        </w:rPr>
        <w:t>006</w:t>
      </w:r>
      <w:r>
        <w:rPr>
          <w:rFonts w:hint="eastAsia" w:ascii="宋体" w:hAnsi="宋体" w:eastAsia="宋体" w:cs="宋体"/>
          <w:b w:val="0"/>
          <w:bCs/>
          <w:color w:val="auto"/>
          <w:sz w:val="24"/>
          <w:szCs w:val="24"/>
          <w:lang w:val="en-US" w:eastAsia="zh-CN"/>
        </w:rPr>
        <w:t>号</w:t>
      </w:r>
    </w:p>
    <w:p>
      <w:pPr>
        <w:pStyle w:val="3"/>
        <w:rPr>
          <w:rFonts w:hint="eastAsia"/>
          <w:lang w:eastAsia="zh-CN"/>
        </w:rPr>
      </w:pPr>
    </w:p>
    <w:p>
      <w:pPr>
        <w:spacing w:line="360" w:lineRule="auto"/>
        <w:jc w:val="center"/>
        <w:rPr>
          <w:rFonts w:hint="eastAsia" w:asciiTheme="majorEastAsia" w:hAnsiTheme="majorEastAsia" w:eastAsiaTheme="majorEastAsia" w:cstheme="majorEastAsia"/>
          <w:b/>
          <w:spacing w:val="-14"/>
          <w:sz w:val="32"/>
          <w:szCs w:val="32"/>
        </w:rPr>
      </w:pPr>
      <w:r>
        <w:rPr>
          <w:rFonts w:hint="eastAsia" w:asciiTheme="majorEastAsia" w:hAnsiTheme="majorEastAsia" w:eastAsiaTheme="majorEastAsia" w:cstheme="majorEastAsia"/>
          <w:b/>
          <w:spacing w:val="-14"/>
          <w:sz w:val="32"/>
          <w:szCs w:val="32"/>
        </w:rPr>
        <w:t>关于民权县绿源再生资源回收有限公司年拆解回收2万辆废旧汽车</w:t>
      </w:r>
    </w:p>
    <w:p>
      <w:pPr>
        <w:spacing w:line="360" w:lineRule="auto"/>
        <w:jc w:val="center"/>
        <w:rPr>
          <w:rFonts w:hint="eastAsia" w:asciiTheme="majorEastAsia" w:hAnsiTheme="majorEastAsia" w:eastAsiaTheme="majorEastAsia" w:cstheme="majorEastAsia"/>
          <w:b/>
          <w:spacing w:val="-14"/>
          <w:sz w:val="32"/>
          <w:szCs w:val="32"/>
        </w:rPr>
      </w:pPr>
      <w:r>
        <w:rPr>
          <w:rFonts w:hint="eastAsia" w:asciiTheme="majorEastAsia" w:hAnsiTheme="majorEastAsia" w:eastAsiaTheme="majorEastAsia" w:cstheme="majorEastAsia"/>
          <w:b/>
          <w:spacing w:val="-14"/>
          <w:sz w:val="32"/>
          <w:szCs w:val="32"/>
        </w:rPr>
        <w:t>项目环境影响报告表的批复</w:t>
      </w:r>
    </w:p>
    <w:p>
      <w:pPr>
        <w:spacing w:line="360" w:lineRule="auto"/>
        <w:jc w:val="center"/>
        <w:rPr>
          <w:sz w:val="28"/>
          <w:szCs w:val="28"/>
        </w:rPr>
      </w:pP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民权县绿源再生资源回收有限公司：</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你公司报送的由河南省昊德环保科技有限公司编制完成的《民权县绿源再生资源回收有限公司年拆解回收2万辆废旧汽车项目环境影响报告表（污染影响类</w:t>
      </w:r>
      <w:bookmarkStart w:id="0" w:name="_GoBack"/>
      <w:bookmarkEnd w:id="0"/>
      <w:r>
        <w:rPr>
          <w:rFonts w:hint="eastAsia" w:ascii="仿宋" w:hAnsi="仿宋" w:eastAsia="仿宋" w:cs="仿宋"/>
          <w:sz w:val="24"/>
          <w:szCs w:val="24"/>
          <w:lang w:val="en-US" w:eastAsia="zh-CN"/>
        </w:rPr>
        <w:t>）》（以下简称“报告表”）已收悉。项目拟审批事项民权县政府网站公示期满，无异议。经研究，批复如下：</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报告表》内容符合国家有关法律法规要求和建设项目环境管理规定，评价结论可信，我局批准该《报告表》。原则同意你公司按照《报告表》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二、你公司应向社会主动公开经批准的《报告表》，并接受相关方的咨询。</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三、你公司应全面落实《报告表》提出的各项目环境保护措施，确保各项环境保护设施与主体工程同时设计、同时施工、同时投入使用，确保各项污染物达标排放。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（一）向设计单位提供《报告表》和本批复文件，确保项目设计按照环境保护设计规范要求，落实防治环境污染和生态破坏的措施以及环保设施投资概算。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（二）依据《报告表》和本批复文件，对项目建设过程中产生的废水、废气、固体废物、噪声、震动等污染，以及因施工对自然、生态环境造成的破坏，采取相应的防治措施。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（三）项目运行时，外排污染物应满足以下要求：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1、项目建设必须满足《报废汽车回收拆解企业技术规范》（</w:t>
      </w:r>
      <w:r>
        <w:rPr>
          <w:rFonts w:hint="default" w:ascii="仿宋" w:hAnsi="仿宋" w:eastAsia="仿宋" w:cs="仿宋"/>
          <w:sz w:val="24"/>
          <w:szCs w:val="24"/>
          <w:lang w:val="en-US" w:eastAsia="zh-CN"/>
        </w:rPr>
        <w:t>GB22128-2019</w:t>
      </w:r>
      <w:r>
        <w:rPr>
          <w:rFonts w:hint="eastAsia" w:ascii="仿宋" w:hAnsi="仿宋" w:eastAsia="仿宋" w:cs="仿宋"/>
          <w:sz w:val="24"/>
          <w:szCs w:val="24"/>
          <w:lang w:val="en-US" w:eastAsia="zh-CN"/>
        </w:rPr>
        <w:t>）要求。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2、废水：（1）地面清洗废水及初期雨水经自建污水处理设施处理后排入民权县污水处理厂处理；（2）生活污水经化粪池暂存后排入民权县污水处理厂处理，分别满足《污水综合排放标准》 （</w:t>
      </w:r>
      <w:r>
        <w:rPr>
          <w:rFonts w:hint="default" w:ascii="仿宋" w:hAnsi="仿宋" w:eastAsia="仿宋" w:cs="仿宋"/>
          <w:sz w:val="24"/>
          <w:szCs w:val="24"/>
          <w:lang w:val="en-US" w:eastAsia="zh-CN"/>
        </w:rPr>
        <w:t>GB 8978-1996</w:t>
      </w:r>
      <w:r>
        <w:rPr>
          <w:rFonts w:hint="eastAsia" w:ascii="仿宋" w:hAnsi="仿宋" w:eastAsia="仿宋" w:cs="仿宋"/>
          <w:sz w:val="24"/>
          <w:szCs w:val="24"/>
          <w:lang w:val="en-US" w:eastAsia="zh-CN"/>
        </w:rPr>
        <w:t xml:space="preserve">）表 </w:t>
      </w:r>
      <w:r>
        <w:rPr>
          <w:rFonts w:hint="default" w:ascii="仿宋" w:hAnsi="仿宋" w:eastAsia="仿宋" w:cs="仿宋"/>
          <w:sz w:val="24"/>
          <w:szCs w:val="24"/>
          <w:lang w:val="en-US" w:eastAsia="zh-CN"/>
        </w:rPr>
        <w:t xml:space="preserve">4 </w:t>
      </w:r>
      <w:r>
        <w:rPr>
          <w:rFonts w:hint="eastAsia" w:ascii="仿宋" w:hAnsi="仿宋" w:eastAsia="仿宋" w:cs="仿宋"/>
          <w:sz w:val="24"/>
          <w:szCs w:val="24"/>
          <w:lang w:val="en-US" w:eastAsia="zh-CN"/>
        </w:rPr>
        <w:t>三级标准及民权县污水处理厂收水水质要求，废水不得随意外排。</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废气：（1）制冷剂、废油液回收、危废间废气经“UV光氧催化+活性炭吸附装置”处理，满足《大气污染物综合排放标准》（GB16297-1996）表2二级标准要求，同时满足《关于全省开展工业企业挥发性有机物专项治理工作中排放建议值的通知》（豫环攻坚办〔2017〕162号）附件1其他行业有机废气排放口非甲烷总烃排放限值要求后，通过15m高排气筒排放；（2）拆解、切割和破碎产生的粉尘分别经袋式除尘器处理，满足《大气污染物综合排放标准》(GB16297-1996)二级标准要求后，分别通过15m高排气筒排放；（3）无组织废气分别满足《挥发性有机物无组织排放控制标准》（</w:t>
      </w:r>
      <w:r>
        <w:rPr>
          <w:rFonts w:hint="default" w:ascii="仿宋" w:hAnsi="仿宋" w:eastAsia="仿宋" w:cs="仿宋"/>
          <w:sz w:val="24"/>
          <w:szCs w:val="24"/>
          <w:lang w:val="en-US" w:eastAsia="zh-CN"/>
        </w:rPr>
        <w:t>GB37822-2019</w:t>
      </w:r>
      <w:r>
        <w:rPr>
          <w:rFonts w:hint="eastAsia" w:ascii="仿宋" w:hAnsi="仿宋" w:eastAsia="仿宋" w:cs="仿宋"/>
          <w:sz w:val="24"/>
          <w:szCs w:val="24"/>
          <w:lang w:val="en-US" w:eastAsia="zh-CN"/>
        </w:rPr>
        <w:t>）和《大气污染物综合排放标准》(GB16297-1996)要求。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4、噪声：低噪声设备，采取减振、隔声等降噪措施对设备噪声进行控制，项目四厂界噪声预测值均能满足《工业企业厂界环境噪声排放标准》（GB12348-2008）2类标准要求。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5、固废：（1）一般固废收集暂存定期外售，满足《一般工业固体废物贮存和填埋污染控制标准》（</w:t>
      </w:r>
      <w:r>
        <w:rPr>
          <w:rFonts w:hint="default" w:ascii="仿宋" w:hAnsi="仿宋" w:eastAsia="仿宋" w:cs="仿宋"/>
          <w:sz w:val="24"/>
          <w:szCs w:val="24"/>
          <w:lang w:val="en-US" w:eastAsia="zh-CN"/>
        </w:rPr>
        <w:t>GB18599-2020</w:t>
      </w:r>
      <w:r>
        <w:rPr>
          <w:rFonts w:hint="eastAsia" w:ascii="仿宋" w:hAnsi="仿宋" w:eastAsia="仿宋" w:cs="仿宋"/>
          <w:sz w:val="24"/>
          <w:szCs w:val="24"/>
          <w:lang w:val="en-US" w:eastAsia="zh-CN"/>
        </w:rPr>
        <w:t>）要求；（2）危险废物收集暂存，定期交有资质单位处置，满足《危险废物贮存污染控制标准》（</w:t>
      </w:r>
      <w:r>
        <w:rPr>
          <w:rFonts w:hint="default" w:ascii="仿宋" w:hAnsi="仿宋" w:eastAsia="仿宋" w:cs="仿宋"/>
          <w:sz w:val="24"/>
          <w:szCs w:val="24"/>
          <w:lang w:val="en-US" w:eastAsia="zh-CN"/>
        </w:rPr>
        <w:t>GB18597-2001</w:t>
      </w:r>
      <w:r>
        <w:rPr>
          <w:rFonts w:hint="eastAsia" w:ascii="仿宋" w:hAnsi="仿宋" w:eastAsia="仿宋" w:cs="仿宋"/>
          <w:sz w:val="24"/>
          <w:szCs w:val="24"/>
          <w:lang w:val="en-US" w:eastAsia="zh-CN"/>
        </w:rPr>
        <w:t>）及其修改单要求；（3）生活垃圾由环卫部门统一清运处置，所有固废不得随意丢弃。</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四、项目建成后，按相关规定及时进行项目竣工环境保护验收。项目建设及运行过程中，由民权县生态环境局负责项目的日常环境管理工作。</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六、对此批复若存有异议，可自该文下达之日起60日内向河南省环保厅、商丘市环保局或民权县人民政府申请复议，逾期复议无效。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6960" w:firstLineChars="29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firstLine="6960" w:firstLineChars="29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440" w:lineRule="exact"/>
        <w:ind w:firstLine="6480" w:firstLineChars="27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2023年3月1日</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sz w:val="24"/>
          <w:szCs w:val="24"/>
          <w:lang w:val="en-US" w:eastAsia="zh-CN"/>
        </w:rPr>
      </w:pPr>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E0NGUwZWRhZTVhZmE4MjA4MmQyYTUwNjg2MGE2OWMifQ=="/>
  </w:docVars>
  <w:rsids>
    <w:rsidRoot w:val="02F72450"/>
    <w:rsid w:val="00002FE5"/>
    <w:rsid w:val="000826E0"/>
    <w:rsid w:val="0009411E"/>
    <w:rsid w:val="000C7936"/>
    <w:rsid w:val="000D0072"/>
    <w:rsid w:val="000D6213"/>
    <w:rsid w:val="00114960"/>
    <w:rsid w:val="00137DE5"/>
    <w:rsid w:val="00172393"/>
    <w:rsid w:val="00175A80"/>
    <w:rsid w:val="002035E9"/>
    <w:rsid w:val="0023520D"/>
    <w:rsid w:val="002442EF"/>
    <w:rsid w:val="002A404E"/>
    <w:rsid w:val="002B13AB"/>
    <w:rsid w:val="003014B1"/>
    <w:rsid w:val="00320EA2"/>
    <w:rsid w:val="003955E9"/>
    <w:rsid w:val="003A19E5"/>
    <w:rsid w:val="003E3E4B"/>
    <w:rsid w:val="003E3E90"/>
    <w:rsid w:val="00425F79"/>
    <w:rsid w:val="00465F79"/>
    <w:rsid w:val="004824B1"/>
    <w:rsid w:val="00483ED3"/>
    <w:rsid w:val="004E7FCF"/>
    <w:rsid w:val="004F7F1C"/>
    <w:rsid w:val="00575373"/>
    <w:rsid w:val="006177C6"/>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333E4"/>
    <w:rsid w:val="009A3A33"/>
    <w:rsid w:val="009B61EC"/>
    <w:rsid w:val="00A309FA"/>
    <w:rsid w:val="00A42BDD"/>
    <w:rsid w:val="00A6136A"/>
    <w:rsid w:val="00A776D7"/>
    <w:rsid w:val="00A83DFF"/>
    <w:rsid w:val="00A8688A"/>
    <w:rsid w:val="00A93E01"/>
    <w:rsid w:val="00AC211F"/>
    <w:rsid w:val="00B71152"/>
    <w:rsid w:val="00B82A97"/>
    <w:rsid w:val="00B95A86"/>
    <w:rsid w:val="00C00B05"/>
    <w:rsid w:val="00C33CD7"/>
    <w:rsid w:val="00C60A64"/>
    <w:rsid w:val="00CD6AF1"/>
    <w:rsid w:val="00D277F4"/>
    <w:rsid w:val="00D476BE"/>
    <w:rsid w:val="00D83101"/>
    <w:rsid w:val="00DC090E"/>
    <w:rsid w:val="00DC4F51"/>
    <w:rsid w:val="00DF3F1F"/>
    <w:rsid w:val="00DF5060"/>
    <w:rsid w:val="00E02BC4"/>
    <w:rsid w:val="00E50552"/>
    <w:rsid w:val="00E75163"/>
    <w:rsid w:val="02F72450"/>
    <w:rsid w:val="06600C79"/>
    <w:rsid w:val="114105BA"/>
    <w:rsid w:val="164125A5"/>
    <w:rsid w:val="1B2129A5"/>
    <w:rsid w:val="1B7C72FE"/>
    <w:rsid w:val="24C86255"/>
    <w:rsid w:val="27F7446F"/>
    <w:rsid w:val="29165C34"/>
    <w:rsid w:val="2FAD50FA"/>
    <w:rsid w:val="30D97EA2"/>
    <w:rsid w:val="368A544A"/>
    <w:rsid w:val="37AD7642"/>
    <w:rsid w:val="397D3AAD"/>
    <w:rsid w:val="3D8C7CFA"/>
    <w:rsid w:val="3DA03245"/>
    <w:rsid w:val="3DA374AB"/>
    <w:rsid w:val="405F0B00"/>
    <w:rsid w:val="424C7236"/>
    <w:rsid w:val="43B35FE0"/>
    <w:rsid w:val="444306B4"/>
    <w:rsid w:val="44E919BB"/>
    <w:rsid w:val="4FED0983"/>
    <w:rsid w:val="534342E1"/>
    <w:rsid w:val="54E57FC4"/>
    <w:rsid w:val="57690E03"/>
    <w:rsid w:val="5B073AA0"/>
    <w:rsid w:val="5C7D4F86"/>
    <w:rsid w:val="620F0E3C"/>
    <w:rsid w:val="63C17BCC"/>
    <w:rsid w:val="65295CAB"/>
    <w:rsid w:val="75C14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qFormat/>
    <w:uiPriority w:val="0"/>
    <w:pPr>
      <w:snapToGrid w:val="0"/>
      <w:spacing w:before="100" w:beforeAutospacing="1" w:after="100" w:afterAutospacing="1" w:line="408" w:lineRule="auto"/>
      <w:ind w:left="-113" w:right="-510" w:firstLine="51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1546</Words>
  <Characters>1669</Characters>
  <Lines>11</Lines>
  <Paragraphs>3</Paragraphs>
  <TotalTime>5</TotalTime>
  <ScaleCrop>false</ScaleCrop>
  <LinksUpToDate>false</LinksUpToDate>
  <CharactersWithSpaces>1718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南是故乡</cp:lastModifiedBy>
  <dcterms:modified xsi:type="dcterms:W3CDTF">2023-03-01T03:46:51Z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BAE9BB4BC69B41B58BF4CD20E351371E</vt:lpwstr>
  </property>
</Properties>
</file>