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拟批复的建设项目采取的污染防治措施</w:t>
      </w:r>
      <w:bookmarkEnd w:id="0"/>
      <w:r>
        <w:rPr>
          <w:rFonts w:hint="eastAsia"/>
          <w:b/>
          <w:bCs/>
          <w:lang w:val="en-US" w:eastAsia="zh-CN"/>
        </w:rPr>
        <w:t>（报告表内容）</w:t>
      </w:r>
    </w:p>
    <w:tbl>
      <w:tblPr>
        <w:tblStyle w:val="11"/>
        <w:tblW w:w="13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454"/>
        <w:gridCol w:w="567"/>
        <w:gridCol w:w="567"/>
        <w:gridCol w:w="567"/>
        <w:gridCol w:w="567"/>
        <w:gridCol w:w="2197"/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建设地点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建设单位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环境影响评价机构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建设项目概况</w:t>
            </w:r>
          </w:p>
        </w:tc>
        <w:tc>
          <w:tcPr>
            <w:tcW w:w="89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河南省文通塑料有限公司年生产</w:t>
            </w:r>
            <w:r>
              <w:rPr>
                <w:bCs/>
                <w:szCs w:val="21"/>
              </w:rPr>
              <w:t>25</w:t>
            </w:r>
            <w:r>
              <w:rPr>
                <w:rFonts w:hint="eastAsia"/>
                <w:bCs/>
                <w:szCs w:val="21"/>
              </w:rPr>
              <w:t>万件门封条塑料制品建设项目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河南省商丘市民权县产业集聚区兴业路与万宝路交叉口西南角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河南省文通塑料有限公司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河南省波光环境评估服务有限公司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根据《产业结构调整指导目录（</w:t>
            </w:r>
            <w:r>
              <w:rPr>
                <w:szCs w:val="21"/>
              </w:rPr>
              <w:t>2019</w:t>
            </w:r>
            <w:r>
              <w:rPr>
                <w:rFonts w:hint="eastAsia"/>
                <w:szCs w:val="21"/>
              </w:rPr>
              <w:t>年本）》，该项目不属于鼓励类、限制类和淘汰类项目，因此该项目属于国家允许类项目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符合国家产业政策和地方发展规划</w:t>
            </w:r>
            <w:r>
              <w:rPr>
                <w:szCs w:val="21"/>
              </w:rPr>
              <w:t>。</w:t>
            </w:r>
            <w:r>
              <w:rPr>
                <w:rFonts w:hint="eastAsia"/>
                <w:bCs/>
                <w:kern w:val="0"/>
                <w:szCs w:val="21"/>
                <w:lang w:val="zh-CN"/>
              </w:rPr>
              <w:t>项目属于新建性质，</w:t>
            </w:r>
            <w:r>
              <w:rPr>
                <w:rFonts w:hint="eastAsia"/>
                <w:kern w:val="0"/>
                <w:szCs w:val="21"/>
              </w:rPr>
              <w:t>系租赁</w:t>
            </w:r>
            <w:r>
              <w:rPr>
                <w:rFonts w:hint="eastAsia"/>
                <w:bCs/>
                <w:kern w:val="0"/>
                <w:szCs w:val="21"/>
              </w:rPr>
              <w:t>广州万宝集团民权电器有限公司</w:t>
            </w:r>
            <w:r>
              <w:rPr>
                <w:rFonts w:hint="eastAsia"/>
                <w:kern w:val="0"/>
                <w:szCs w:val="21"/>
              </w:rPr>
              <w:t>院内闲置车间进行生产建设，</w:t>
            </w:r>
            <w:r>
              <w:rPr>
                <w:rFonts w:hint="eastAsia"/>
                <w:bCs/>
                <w:kern w:val="0"/>
                <w:szCs w:val="21"/>
              </w:rPr>
              <w:t>工程</w:t>
            </w:r>
            <w:r>
              <w:rPr>
                <w:bCs/>
                <w:kern w:val="0"/>
                <w:szCs w:val="21"/>
              </w:rPr>
              <w:t>占地面积</w:t>
            </w:r>
            <w:r>
              <w:rPr>
                <w:rFonts w:hint="eastAsia"/>
                <w:bCs/>
                <w:kern w:val="0"/>
                <w:szCs w:val="21"/>
              </w:rPr>
              <w:t>为1000</w:t>
            </w:r>
            <w:r>
              <w:rPr>
                <w:bCs/>
                <w:kern w:val="0"/>
                <w:szCs w:val="21"/>
              </w:rPr>
              <w:t>m</w:t>
            </w:r>
            <w:r>
              <w:rPr>
                <w:bCs/>
                <w:kern w:val="0"/>
                <w:szCs w:val="21"/>
                <w:vertAlign w:val="superscript"/>
              </w:rPr>
              <w:t>2</w:t>
            </w:r>
            <w:r>
              <w:rPr>
                <w:bCs/>
                <w:kern w:val="0"/>
                <w:szCs w:val="21"/>
              </w:rPr>
              <w:t>，</w:t>
            </w:r>
            <w:r>
              <w:rPr>
                <w:szCs w:val="21"/>
              </w:rPr>
              <w:t>总投资</w:t>
            </w:r>
            <w:r>
              <w:rPr>
                <w:rFonts w:hint="eastAsia"/>
                <w:szCs w:val="21"/>
              </w:rPr>
              <w:t>200</w:t>
            </w:r>
            <w:r>
              <w:rPr>
                <w:szCs w:val="21"/>
              </w:rPr>
              <w:t>万元，项目环保投资</w:t>
            </w:r>
            <w:r>
              <w:rPr>
                <w:rFonts w:hint="eastAsia"/>
                <w:szCs w:val="21"/>
              </w:rPr>
              <w:t>20.8</w:t>
            </w:r>
            <w:r>
              <w:rPr>
                <w:szCs w:val="21"/>
              </w:rPr>
              <w:t>万元，占总投资的</w:t>
            </w:r>
            <w:r>
              <w:rPr>
                <w:rFonts w:hint="eastAsia"/>
                <w:szCs w:val="21"/>
              </w:rPr>
              <w:t>10.4</w:t>
            </w:r>
            <w:r>
              <w:rPr>
                <w:szCs w:val="21"/>
              </w:rPr>
              <w:t>%。</w:t>
            </w:r>
          </w:p>
        </w:tc>
        <w:tc>
          <w:tcPr>
            <w:tcW w:w="895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szCs w:val="21"/>
              </w:rPr>
              <w:t>废水：</w:t>
            </w:r>
            <w:r>
              <w:rPr>
                <w:rFonts w:hint="eastAsia"/>
                <w:szCs w:val="21"/>
              </w:rPr>
              <w:t>本项目废水为职工产生的生活污水，无生产废水产生。本项目生活污水经现有化粪池处理后排入厂区总排口，然后接入市政污水管网进入民权县污水处理厂进一步处理。</w:t>
            </w:r>
          </w:p>
          <w:p>
            <w:pPr>
              <w:ind w:firstLine="420" w:firstLineChars="20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2、废气</w:t>
            </w:r>
            <w:r>
              <w:rPr>
                <w:rFonts w:hint="eastAsia"/>
                <w:color w:val="000000"/>
                <w:kern w:val="0"/>
                <w:szCs w:val="21"/>
              </w:rPr>
              <w:t>：①</w:t>
            </w:r>
            <w:r>
              <w:rPr>
                <w:rFonts w:hint="eastAsia"/>
                <w:spacing w:val="4"/>
                <w:szCs w:val="21"/>
              </w:rPr>
              <w:t>热熔、挤出工序，热熔焊接工序产生的废气：挤出机上方设置集气罩，建议车间设置固定焊接工位，在每个焊接工位上各设</w:t>
            </w:r>
            <w:r>
              <w:rPr>
                <w:spacing w:val="4"/>
                <w:szCs w:val="21"/>
              </w:rPr>
              <w:t>1</w:t>
            </w:r>
            <w:r>
              <w:rPr>
                <w:rFonts w:hint="eastAsia"/>
                <w:spacing w:val="4"/>
                <w:szCs w:val="21"/>
              </w:rPr>
              <w:t>个集气罩，将挤出有机废气和焊接有机废气至一套</w:t>
            </w:r>
            <w:r>
              <w:rPr>
                <w:spacing w:val="4"/>
                <w:szCs w:val="21"/>
              </w:rPr>
              <w:t>“</w:t>
            </w:r>
            <w:r>
              <w:rPr>
                <w:rFonts w:hint="eastAsia"/>
                <w:spacing w:val="4"/>
                <w:szCs w:val="21"/>
              </w:rPr>
              <w:t>吸附脱附</w:t>
            </w:r>
            <w:r>
              <w:rPr>
                <w:spacing w:val="4"/>
                <w:szCs w:val="21"/>
              </w:rPr>
              <w:t>+</w:t>
            </w:r>
            <w:r>
              <w:rPr>
                <w:rFonts w:hint="eastAsia"/>
                <w:spacing w:val="4"/>
                <w:szCs w:val="21"/>
              </w:rPr>
              <w:t>催化燃烧装置</w:t>
            </w:r>
            <w:r>
              <w:rPr>
                <w:spacing w:val="4"/>
                <w:szCs w:val="21"/>
              </w:rPr>
              <w:t>”</w:t>
            </w:r>
            <w:r>
              <w:rPr>
                <w:rFonts w:hint="eastAsia"/>
                <w:spacing w:val="4"/>
                <w:szCs w:val="21"/>
              </w:rPr>
              <w:t>进行处理，然后通过</w:t>
            </w:r>
            <w:r>
              <w:rPr>
                <w:spacing w:val="4"/>
                <w:szCs w:val="21"/>
              </w:rPr>
              <w:t>1</w:t>
            </w:r>
            <w:r>
              <w:rPr>
                <w:rFonts w:hint="eastAsia"/>
                <w:spacing w:val="4"/>
                <w:szCs w:val="21"/>
              </w:rPr>
              <w:t>根</w:t>
            </w:r>
            <w:r>
              <w:rPr>
                <w:spacing w:val="4"/>
                <w:szCs w:val="21"/>
              </w:rPr>
              <w:t>15m</w:t>
            </w:r>
            <w:r>
              <w:rPr>
                <w:rFonts w:hint="eastAsia"/>
                <w:spacing w:val="4"/>
                <w:szCs w:val="21"/>
              </w:rPr>
              <w:t>高排气筒排放</w:t>
            </w:r>
            <w:r>
              <w:rPr>
                <w:rFonts w:hint="eastAsia"/>
                <w:color w:val="000000"/>
                <w:kern w:val="0"/>
                <w:szCs w:val="21"/>
              </w:rPr>
              <w:t>；②</w:t>
            </w:r>
            <w:r>
              <w:rPr>
                <w:rFonts w:hint="eastAsia"/>
                <w:szCs w:val="21"/>
              </w:rPr>
              <w:t>破碎粉尘：破碎机上方安装集气罩，废气引入袋式除尘器处理后，经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  <w:r>
              <w:rPr>
                <w:szCs w:val="21"/>
              </w:rPr>
              <w:t>15m</w:t>
            </w:r>
            <w:r>
              <w:rPr>
                <w:rFonts w:hint="eastAsia"/>
                <w:szCs w:val="21"/>
              </w:rPr>
              <w:t>高排气筒排放。</w:t>
            </w:r>
          </w:p>
          <w:p>
            <w:pPr>
              <w:widowControl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、噪声：</w:t>
            </w:r>
            <w:r>
              <w:rPr>
                <w:rFonts w:hint="eastAsia"/>
                <w:szCs w:val="21"/>
              </w:rPr>
              <w:t>工程选用低噪声设备，采取减振、隔声等降噪措施对设备噪声进行控制，各厂界噪声应满足《工业企业厂界环境噪声排放标准》（</w:t>
            </w:r>
            <w:r>
              <w:rPr>
                <w:szCs w:val="21"/>
              </w:rPr>
              <w:t>GB12348-2008</w:t>
            </w:r>
            <w:r>
              <w:rPr>
                <w:rFonts w:hint="eastAsia"/>
                <w:szCs w:val="21"/>
              </w:rPr>
              <w:t>）3类标准要求。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项目固体废物主要为一般固废和危险固废。一般固废为废边角料、不合格产品和破碎工序废气处理收集的粉尘，废边角料、不合格产品收集后利用破碎机进行破碎，回用于生产；破碎工序废气处理收集的粉尘收集后暂存于车间固废暂存区内，定期外售；生活垃圾设置垃圾桶，交由环卫部门统一处理；危险固废主要为废活性炭，暂存在危险固废暂存间，密闭容器收集，分区存放，定期委托有资质单位进行安全处置。</w:t>
            </w:r>
          </w:p>
        </w:tc>
      </w:tr>
    </w:tbl>
    <w:p/>
    <w:sectPr>
      <w:pgSz w:w="16838" w:h="11906" w:orient="landscape"/>
      <w:pgMar w:top="1474" w:right="1588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0NGUwZWRhZTVhZmE4MjA4MmQyYTUwNjg2MGE2OWMifQ=="/>
  </w:docVars>
  <w:rsids>
    <w:rsidRoot w:val="02F72450"/>
    <w:rsid w:val="00013EB8"/>
    <w:rsid w:val="00032F7A"/>
    <w:rsid w:val="00056DA8"/>
    <w:rsid w:val="0006625D"/>
    <w:rsid w:val="000C54C0"/>
    <w:rsid w:val="000D0072"/>
    <w:rsid w:val="000E774C"/>
    <w:rsid w:val="000F7BBC"/>
    <w:rsid w:val="001064C0"/>
    <w:rsid w:val="00120DB2"/>
    <w:rsid w:val="00173A9D"/>
    <w:rsid w:val="00175A80"/>
    <w:rsid w:val="001A591F"/>
    <w:rsid w:val="001C1B69"/>
    <w:rsid w:val="001D10B4"/>
    <w:rsid w:val="001E1D08"/>
    <w:rsid w:val="001E2A8D"/>
    <w:rsid w:val="00221BD9"/>
    <w:rsid w:val="0023520D"/>
    <w:rsid w:val="00244621"/>
    <w:rsid w:val="00251348"/>
    <w:rsid w:val="00282012"/>
    <w:rsid w:val="002A404E"/>
    <w:rsid w:val="002C175F"/>
    <w:rsid w:val="00321146"/>
    <w:rsid w:val="003955E9"/>
    <w:rsid w:val="003C6E0F"/>
    <w:rsid w:val="003E38AB"/>
    <w:rsid w:val="00465F79"/>
    <w:rsid w:val="004700C1"/>
    <w:rsid w:val="00483ED3"/>
    <w:rsid w:val="004B5F52"/>
    <w:rsid w:val="004E746F"/>
    <w:rsid w:val="00500BAA"/>
    <w:rsid w:val="00627E03"/>
    <w:rsid w:val="006322A0"/>
    <w:rsid w:val="00641BB9"/>
    <w:rsid w:val="006A377F"/>
    <w:rsid w:val="006E5D8B"/>
    <w:rsid w:val="006F12C2"/>
    <w:rsid w:val="006F4CFC"/>
    <w:rsid w:val="00711BC6"/>
    <w:rsid w:val="00716C75"/>
    <w:rsid w:val="00773AA5"/>
    <w:rsid w:val="00777949"/>
    <w:rsid w:val="007A1B2D"/>
    <w:rsid w:val="007A4004"/>
    <w:rsid w:val="007B1A2A"/>
    <w:rsid w:val="007F2CA0"/>
    <w:rsid w:val="00801EBC"/>
    <w:rsid w:val="00890BAD"/>
    <w:rsid w:val="008918E7"/>
    <w:rsid w:val="008B1FCE"/>
    <w:rsid w:val="008D1DD5"/>
    <w:rsid w:val="008F5F29"/>
    <w:rsid w:val="0096378F"/>
    <w:rsid w:val="009A1DCD"/>
    <w:rsid w:val="009D41E1"/>
    <w:rsid w:val="009F468C"/>
    <w:rsid w:val="00A1704C"/>
    <w:rsid w:val="00A222A2"/>
    <w:rsid w:val="00A266EB"/>
    <w:rsid w:val="00A415AC"/>
    <w:rsid w:val="00A96FA6"/>
    <w:rsid w:val="00B07FE8"/>
    <w:rsid w:val="00B25D63"/>
    <w:rsid w:val="00B42394"/>
    <w:rsid w:val="00B55070"/>
    <w:rsid w:val="00B82A97"/>
    <w:rsid w:val="00B95730"/>
    <w:rsid w:val="00BB1E68"/>
    <w:rsid w:val="00C00B05"/>
    <w:rsid w:val="00C60A64"/>
    <w:rsid w:val="00CD777E"/>
    <w:rsid w:val="00CF6E04"/>
    <w:rsid w:val="00D041D9"/>
    <w:rsid w:val="00D22F60"/>
    <w:rsid w:val="00D809C6"/>
    <w:rsid w:val="00D83101"/>
    <w:rsid w:val="00D834E3"/>
    <w:rsid w:val="00DB2071"/>
    <w:rsid w:val="00DC090E"/>
    <w:rsid w:val="00DD3551"/>
    <w:rsid w:val="00E02BC4"/>
    <w:rsid w:val="00E05300"/>
    <w:rsid w:val="00E27F07"/>
    <w:rsid w:val="00E96B62"/>
    <w:rsid w:val="00EC145E"/>
    <w:rsid w:val="00F46C03"/>
    <w:rsid w:val="00F60A70"/>
    <w:rsid w:val="00F855AC"/>
    <w:rsid w:val="00F94B8F"/>
    <w:rsid w:val="02F72450"/>
    <w:rsid w:val="06600C79"/>
    <w:rsid w:val="07AF1E67"/>
    <w:rsid w:val="114105BA"/>
    <w:rsid w:val="18DF665D"/>
    <w:rsid w:val="1B7C72FE"/>
    <w:rsid w:val="1D713B37"/>
    <w:rsid w:val="1FCD1D53"/>
    <w:rsid w:val="31EA3933"/>
    <w:rsid w:val="32140D59"/>
    <w:rsid w:val="36865A1B"/>
    <w:rsid w:val="375006D7"/>
    <w:rsid w:val="3B9C0577"/>
    <w:rsid w:val="3DA03245"/>
    <w:rsid w:val="41496E60"/>
    <w:rsid w:val="444306B4"/>
    <w:rsid w:val="487D4D62"/>
    <w:rsid w:val="4F685691"/>
    <w:rsid w:val="50137DC6"/>
    <w:rsid w:val="57690E03"/>
    <w:rsid w:val="5AAC50E0"/>
    <w:rsid w:val="5F6E6039"/>
    <w:rsid w:val="620F0E3C"/>
    <w:rsid w:val="62A77163"/>
    <w:rsid w:val="63C17BCC"/>
    <w:rsid w:val="68031006"/>
    <w:rsid w:val="774F11FF"/>
    <w:rsid w:val="7B4366D9"/>
    <w:rsid w:val="7FA15F8E"/>
    <w:rsid w:val="7F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4"/>
      <w:szCs w:val="20"/>
    </w:rPr>
  </w:style>
  <w:style w:type="paragraph" w:styleId="5">
    <w:name w:val="Normal Indent"/>
    <w:basedOn w:val="1"/>
    <w:link w:val="17"/>
    <w:qFormat/>
    <w:uiPriority w:val="0"/>
    <w:pPr>
      <w:ind w:firstLine="420" w:firstLineChars="200"/>
    </w:pPr>
    <w:rPr>
      <w:szCs w:val="20"/>
    </w:rPr>
  </w:style>
  <w:style w:type="paragraph" w:styleId="6">
    <w:name w:val="Body Text"/>
    <w:basedOn w:val="1"/>
    <w:link w:val="16"/>
    <w:qFormat/>
    <w:uiPriority w:val="0"/>
  </w:style>
  <w:style w:type="paragraph" w:styleId="7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spacing w:line="500" w:lineRule="exac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正文文本 Char"/>
    <w:basedOn w:val="12"/>
    <w:link w:val="6"/>
    <w:qFormat/>
    <w:uiPriority w:val="0"/>
    <w:rPr>
      <w:kern w:val="2"/>
      <w:sz w:val="21"/>
    </w:rPr>
  </w:style>
  <w:style w:type="character" w:customStyle="1" w:styleId="17">
    <w:name w:val="正文缩进 Char"/>
    <w:basedOn w:val="12"/>
    <w:link w:val="5"/>
    <w:qFormat/>
    <w:uiPriority w:val="0"/>
    <w:rPr>
      <w:kern w:val="2"/>
      <w:sz w:val="21"/>
    </w:rPr>
  </w:style>
  <w:style w:type="paragraph" w:styleId="18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24"/>
    </w:rPr>
  </w:style>
  <w:style w:type="character" w:customStyle="1" w:styleId="19">
    <w:name w:val="报告正文 Char"/>
    <w:link w:val="20"/>
    <w:qFormat/>
    <w:uiPriority w:val="0"/>
    <w:rPr>
      <w:rFonts w:ascii="宋体" w:hAnsi="宋体"/>
      <w:sz w:val="28"/>
    </w:rPr>
  </w:style>
  <w:style w:type="paragraph" w:customStyle="1" w:styleId="20">
    <w:name w:val="报告正文"/>
    <w:basedOn w:val="1"/>
    <w:link w:val="19"/>
    <w:qFormat/>
    <w:uiPriority w:val="0"/>
    <w:pPr>
      <w:snapToGrid w:val="0"/>
      <w:spacing w:line="360" w:lineRule="auto"/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1082</Words>
  <Characters>1135</Characters>
  <Lines>1</Lines>
  <Paragraphs>2</Paragraphs>
  <TotalTime>9</TotalTime>
  <ScaleCrop>false</ScaleCrop>
  <LinksUpToDate>false</LinksUpToDate>
  <CharactersWithSpaces>1135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Administrator</cp:lastModifiedBy>
  <dcterms:modified xsi:type="dcterms:W3CDTF">2023-05-04T03:36:54Z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CBF00FE6FEC845468DDB65B2EEDF6528</vt:lpwstr>
  </property>
</Properties>
</file>