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Times New Roman" w:hAnsi="Times New Roman" w:eastAsia="宋体" w:cs="Times New Roman"/>
          <w:sz w:val="21"/>
          <w:szCs w:val="21"/>
          <w:lang w:val="en-US" w:eastAsia="zh-CN"/>
        </w:rPr>
      </w:pPr>
      <w:bookmarkStart w:id="0" w:name="_GoBack"/>
      <w:r>
        <w:rPr>
          <w:rFonts w:hint="eastAsia" w:ascii="Times New Roman" w:hAnsi="Times New Roman" w:eastAsia="宋体" w:cs="Times New Roman"/>
          <w:sz w:val="21"/>
          <w:szCs w:val="21"/>
          <w:lang w:val="en-US" w:eastAsia="zh-CN"/>
        </w:rPr>
        <w:t>拟审批的建设项目采取的污染防治措施</w:t>
      </w:r>
      <w:bookmarkEnd w:id="0"/>
      <w:r>
        <w:rPr>
          <w:rFonts w:hint="eastAsia" w:ascii="Times New Roman" w:hAnsi="Times New Roman" w:eastAsia="宋体" w:cs="Times New Roman"/>
          <w:sz w:val="21"/>
          <w:szCs w:val="21"/>
          <w:lang w:val="en-US" w:eastAsia="zh-CN"/>
        </w:rPr>
        <w:t>（环境影响报告表内容）</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938"/>
        <w:gridCol w:w="1200"/>
        <w:gridCol w:w="1337"/>
        <w:gridCol w:w="1988"/>
        <w:gridCol w:w="1900"/>
        <w:gridCol w:w="6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Align w:val="center"/>
          </w:tcPr>
          <w:p>
            <w:pPr>
              <w:spacing w:line="240" w:lineRule="auto"/>
              <w:jc w:val="center"/>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序号</w:t>
            </w:r>
          </w:p>
        </w:tc>
        <w:tc>
          <w:tcPr>
            <w:tcW w:w="938" w:type="dxa"/>
            <w:vAlign w:val="center"/>
          </w:tcPr>
          <w:p>
            <w:pPr>
              <w:spacing w:line="240" w:lineRule="auto"/>
              <w:jc w:val="center"/>
              <w:rPr>
                <w:rFonts w:hint="eastAsia"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项目</w:t>
            </w:r>
          </w:p>
          <w:p>
            <w:pPr>
              <w:spacing w:line="240" w:lineRule="auto"/>
              <w:jc w:val="center"/>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名称</w:t>
            </w:r>
          </w:p>
        </w:tc>
        <w:tc>
          <w:tcPr>
            <w:tcW w:w="1200" w:type="dxa"/>
            <w:vAlign w:val="center"/>
          </w:tcPr>
          <w:p>
            <w:pPr>
              <w:spacing w:line="240" w:lineRule="auto"/>
              <w:jc w:val="center"/>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建设地点</w:t>
            </w:r>
          </w:p>
        </w:tc>
        <w:tc>
          <w:tcPr>
            <w:tcW w:w="1337" w:type="dxa"/>
            <w:vAlign w:val="center"/>
          </w:tcPr>
          <w:p>
            <w:pPr>
              <w:spacing w:line="240" w:lineRule="auto"/>
              <w:jc w:val="center"/>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建设单位</w:t>
            </w:r>
          </w:p>
        </w:tc>
        <w:tc>
          <w:tcPr>
            <w:tcW w:w="1988" w:type="dxa"/>
            <w:vAlign w:val="center"/>
          </w:tcPr>
          <w:p>
            <w:pPr>
              <w:spacing w:line="240" w:lineRule="auto"/>
              <w:jc w:val="center"/>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环境影响评价机构</w:t>
            </w:r>
          </w:p>
        </w:tc>
        <w:tc>
          <w:tcPr>
            <w:tcW w:w="1900" w:type="dxa"/>
            <w:vAlign w:val="center"/>
          </w:tcPr>
          <w:p>
            <w:pPr>
              <w:spacing w:line="240" w:lineRule="auto"/>
              <w:jc w:val="center"/>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建设项目概况</w:t>
            </w:r>
          </w:p>
        </w:tc>
        <w:tc>
          <w:tcPr>
            <w:tcW w:w="6186" w:type="dxa"/>
            <w:vAlign w:val="center"/>
          </w:tcPr>
          <w:p>
            <w:pPr>
              <w:spacing w:line="240" w:lineRule="auto"/>
              <w:jc w:val="center"/>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主要环境影响及预测或减轻不良环境影响的对策和措施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Align w:val="center"/>
          </w:tcPr>
          <w:p>
            <w:pPr>
              <w:spacing w:line="240" w:lineRule="auto"/>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1</w:t>
            </w:r>
          </w:p>
        </w:tc>
        <w:tc>
          <w:tcPr>
            <w:tcW w:w="938" w:type="dxa"/>
            <w:vAlign w:val="center"/>
          </w:tcPr>
          <w:p>
            <w:pPr>
              <w:spacing w:line="240" w:lineRule="auto"/>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民权县华胜包装材料有限公司年产900万套塑料包装盒项目</w:t>
            </w:r>
          </w:p>
        </w:tc>
        <w:tc>
          <w:tcPr>
            <w:tcW w:w="1200" w:type="dxa"/>
            <w:vAlign w:val="center"/>
          </w:tcPr>
          <w:p>
            <w:pPr>
              <w:spacing w:line="240" w:lineRule="auto"/>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商丘市民权县建业路中段北侧200米</w:t>
            </w:r>
          </w:p>
        </w:tc>
        <w:tc>
          <w:tcPr>
            <w:tcW w:w="1337" w:type="dxa"/>
            <w:vAlign w:val="center"/>
          </w:tcPr>
          <w:p>
            <w:pPr>
              <w:spacing w:line="240" w:lineRule="auto"/>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民权县华胜包装材料有限公司</w:t>
            </w:r>
          </w:p>
        </w:tc>
        <w:tc>
          <w:tcPr>
            <w:tcW w:w="1988" w:type="dxa"/>
            <w:vAlign w:val="center"/>
          </w:tcPr>
          <w:p>
            <w:pPr>
              <w:spacing w:line="240" w:lineRule="auto"/>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河南元臻环境工程有限公司</w:t>
            </w:r>
          </w:p>
        </w:tc>
        <w:tc>
          <w:tcPr>
            <w:tcW w:w="1900" w:type="dxa"/>
            <w:vAlign w:val="center"/>
          </w:tcPr>
          <w:p>
            <w:pPr>
              <w:spacing w:line="240" w:lineRule="auto"/>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民权县华胜包装材料有限公司拟投资100万元位于商丘市民权县建业路中段北侧200米建设年产900万套塑料包装盒项目</w:t>
            </w:r>
          </w:p>
        </w:tc>
        <w:tc>
          <w:tcPr>
            <w:tcW w:w="6186" w:type="dxa"/>
            <w:vAlign w:val="center"/>
          </w:tcPr>
          <w:p>
            <w:pPr>
              <w:spacing w:line="240" w:lineRule="auto"/>
              <w:jc w:val="both"/>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vertAlign w:val="baseline"/>
                <w:lang w:val="en-US" w:eastAsia="zh-CN"/>
              </w:rPr>
              <w:t>废气污染防治措施：</w:t>
            </w:r>
            <w:r>
              <w:rPr>
                <w:rFonts w:hint="eastAsia" w:ascii="Times New Roman" w:hAnsi="Times New Roman" w:eastAsia="宋体" w:cs="Times New Roman"/>
                <w:color w:val="auto"/>
                <w:sz w:val="21"/>
                <w:szCs w:val="21"/>
                <w:lang w:val="en-US" w:eastAsia="zh-CN"/>
              </w:rPr>
              <w:t>注塑工序和贴标工序产生的废气非甲烷总烃经集气罩+UV光解+活性炭吸附+15m高排气筒排放，处理后能够满足</w:t>
            </w:r>
            <w:r>
              <w:rPr>
                <w:rFonts w:hint="eastAsia" w:ascii="Times New Roman" w:hAnsi="Times New Roman" w:eastAsia="宋体" w:cs="Times New Roman"/>
                <w:vertAlign w:val="baseline"/>
                <w:lang w:val="en-US" w:eastAsia="zh-CN"/>
              </w:rPr>
              <w:t>《关于全省开展工业企业挥发性有机物专项治理工作中排放建议值的通知》（豫环攻坚办【2017】162号）中有关建议值的要求及《挥发性有机物无组织排放控制标准》（GB37822-2019）及《合成树脂工业污染物排放标准》（GB31572-2015）表5、表9标准</w:t>
            </w:r>
          </w:p>
          <w:p>
            <w:pPr>
              <w:spacing w:line="240" w:lineRule="auto"/>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废水污染防治措施：营运期无生产废水产生，生活污水经化粪池预处理，食堂废水经隔油池处理后进入化粪池处理，一同经厂区总排口达标排放进入民权县污水处理厂进一步处理，处理后能够满足《污水综合排放标准》（GB8978-1996）表4三级标准和民权县污水处理厂设计进水水质要求；</w:t>
            </w:r>
          </w:p>
          <w:p>
            <w:pPr>
              <w:spacing w:line="240" w:lineRule="auto"/>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噪声防治措施：项目营运期生产过程中产生的噪声经设置基础减振和厂房隔声后，厂界噪声满足《工业企业厂界环境噪声排放标准》（GB12348-2008）3类排放标准限值要求。</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NGUwZWRhZTVhZmE4MjA4MmQyYTUwNjg2MGE2OWMifQ=="/>
  </w:docVars>
  <w:rsids>
    <w:rsidRoot w:val="0FCB5E63"/>
    <w:rsid w:val="0FCB5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2023-06-26T09:42:00Z</dcterms:created>
  <dc:creator>Administrator</dc:creator>
  <cp:lastModifiedBy>Administrator</cp:lastModifiedBy>
  <dcterms:modified xsi:type="dcterms:W3CDTF">2023-06-26T09:44:26Z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971090C098A44DD982859B790EFC5611_11</vt:lpwstr>
  </property>
</Properties>
</file>