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eastAsia="宋体"/>
          <w:lang w:val="en-US" w:eastAsia="zh-CN"/>
        </w:rPr>
      </w:pPr>
      <w:r>
        <w:rPr>
          <w:sz w:val="28"/>
          <w:szCs w:val="28"/>
        </w:rPr>
        <w:t>拟审批的建设项目</w:t>
      </w:r>
      <w:r>
        <w:rPr>
          <w:rFonts w:hint="eastAsia"/>
          <w:sz w:val="28"/>
          <w:szCs w:val="28"/>
          <w:lang w:val="en-US" w:eastAsia="zh-CN"/>
        </w:rPr>
        <w:t>采取的污染防治措施（</w:t>
      </w:r>
      <w:r>
        <w:rPr>
          <w:sz w:val="28"/>
          <w:szCs w:val="28"/>
        </w:rPr>
        <w:t>环境影响报告表</w:t>
      </w:r>
      <w:r>
        <w:rPr>
          <w:rFonts w:hint="eastAsia"/>
          <w:sz w:val="28"/>
          <w:szCs w:val="28"/>
          <w:lang w:val="en-US" w:eastAsia="zh-CN"/>
        </w:rPr>
        <w:t>内容）</w:t>
      </w:r>
      <w:bookmarkStart w:id="0" w:name="_GoBack"/>
      <w:bookmarkEnd w:id="0"/>
    </w:p>
    <w:tbl>
      <w:tblPr>
        <w:tblStyle w:val="11"/>
        <w:tblW w:w="13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454"/>
        <w:gridCol w:w="567"/>
        <w:gridCol w:w="567"/>
        <w:gridCol w:w="567"/>
        <w:gridCol w:w="567"/>
        <w:gridCol w:w="1560"/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项目名称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建设地点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建设单位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环境影响评价机构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建设项目概况</w:t>
            </w:r>
          </w:p>
        </w:tc>
        <w:tc>
          <w:tcPr>
            <w:tcW w:w="96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主要环境影响及预防或减轻不良环境影响的对策和措施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商丘中恒金属制品有限公司年产60万平方锌钢护栏项目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lang w:val="en-US" w:eastAsia="zh-CN"/>
              </w:rPr>
              <w:t>河南省商丘市民权县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lang w:val="en-US" w:eastAsia="zh-CN"/>
              </w:rPr>
              <w:t>中山大道与旺业路交叉口向北200米路西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商丘中恒金属制品有限公司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河南尧沃环保科技有限公司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对照《产业结构调整指导录（2019年本）》，本项目设备、工艺及产品均不属于</w:t>
            </w:r>
            <w:r>
              <w:rPr>
                <w:rFonts w:hint="eastAsia" w:cs="Times New Roman"/>
                <w:color w:val="auto"/>
                <w:sz w:val="21"/>
                <w:szCs w:val="21"/>
                <w:lang w:val="zh-CN" w:eastAsia="zh-CN"/>
              </w:rPr>
              <w:t>鼓励类、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限制类和淘汰类，为允许类项目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符合国家产业政策和地方发展规划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zh-CN" w:eastAsia="zh-CN"/>
              </w:rPr>
              <w:t>项目属于新建性质，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系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</w:rPr>
              <w:t>租用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highlight w:val="none"/>
                <w:lang w:eastAsia="zh-CN"/>
              </w:rPr>
              <w:t>个人现有闲置</w:t>
            </w:r>
            <w:r>
              <w:rPr>
                <w:rFonts w:hint="default" w:ascii="Times New Roman" w:hAnsi="宋体" w:eastAsia="宋体" w:cs="Times New Roman"/>
                <w:bCs/>
                <w:color w:val="auto"/>
                <w:sz w:val="21"/>
                <w:szCs w:val="21"/>
                <w:highlight w:val="none"/>
              </w:rPr>
              <w:t>厂房进行建设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lang w:val="en-US" w:eastAsia="zh-CN"/>
              </w:rPr>
              <w:t>工程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lang w:val="en-US" w:eastAsia="zh-CN"/>
              </w:rPr>
              <w:t>占地面积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lang w:val="en-US" w:eastAsia="zh-CN"/>
              </w:rPr>
              <w:t>为</w:t>
            </w:r>
            <w:r>
              <w:rPr>
                <w:rStyle w:val="21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2830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szCs w:val="21"/>
                <w:u w:val="none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szCs w:val="21"/>
                <w:u w:val="none"/>
                <w:vertAlign w:val="superscript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总投资</w:t>
            </w: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6000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万元，项目环保投资</w:t>
            </w:r>
            <w:r>
              <w:rPr>
                <w:rFonts w:hint="eastAsia" w:cs="Times New Roman"/>
                <w:color w:val="auto"/>
                <w:sz w:val="21"/>
                <w:szCs w:val="21"/>
                <w:u w:val="none"/>
                <w:lang w:val="en-US" w:eastAsia="zh-CN"/>
              </w:rPr>
              <w:t>46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万元，占总投资的</w:t>
            </w: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0.77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%。</w:t>
            </w:r>
          </w:p>
        </w:tc>
        <w:tc>
          <w:tcPr>
            <w:tcW w:w="9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废水：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生活污水经化粪池处理后进入厂区总排口，由市政管网进入民权县污水处理厂进一步处理。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textAlignment w:val="auto"/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2、废气：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 w:bidi="ar-SA"/>
              </w:rPr>
              <w:t>焊接工序、打磨工序产生的颗粒物：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设置固定焊接工位及打磨工位，在每个焊接工位及打磨工位上各设</w:t>
            </w:r>
            <w:r>
              <w:rPr>
                <w:rFonts w:hint="default" w:ascii="Times New Roman" w:hAnsi="Times New Roman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个集气罩，焊接机共设8个集气罩收集，打磨机共设置4个集气罩收集；焊接烟尘收集后与打磨粉尘经风机引至</w:t>
            </w:r>
            <w:r>
              <w:rPr>
                <w:rFonts w:hint="default" w:ascii="Times New Roman" w:hAnsi="Times New Roman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套袋式除尘器集中处理，最后通过</w:t>
            </w:r>
            <w:r>
              <w:rPr>
                <w:rFonts w:hint="default" w:ascii="Times New Roman" w:hAnsi="Times New Roman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根</w:t>
            </w:r>
            <w:r>
              <w:rPr>
                <w:rFonts w:hint="default" w:ascii="Times New Roman" w:hAnsi="Times New Roman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15m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高排气筒排放；②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喷塑工序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 w:bidi="ar-SA"/>
              </w:rPr>
              <w:t>产生的颗粒物：</w:t>
            </w:r>
            <w:r>
              <w:rPr>
                <w:rFonts w:hint="default" w:ascii="Times New Roman" w:hAnsi="Times New Roman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喷粉过程在半密闭的喷房内进行，</w:t>
            </w:r>
            <w:r>
              <w:rPr>
                <w:rFonts w:hint="default" w:ascii="Times New Roman" w:hAnsi="宋体" w:eastAsia="宋体" w:cs="Times New Roman"/>
                <w:color w:val="auto"/>
                <w:spacing w:val="0"/>
                <w:sz w:val="21"/>
                <w:szCs w:val="21"/>
              </w:rPr>
              <w:t>呈负压状态，</w:t>
            </w:r>
            <w:r>
              <w:rPr>
                <w:rFonts w:hint="eastAsia" w:ascii="Times New Roman" w:hAnsi="宋体" w:eastAsia="宋体" w:cs="Times New Roman"/>
                <w:color w:val="auto"/>
                <w:spacing w:val="0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喷粉过程中，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未被工件吸附的粉末经自带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滤芯单级回收系统回收后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通过脉冲袋式除尘器进行处理，处理后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根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15m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高排气筒排放；③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固化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工序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产生的非甲烷总烃：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固化烘道布设废气收集管网，采用1台风机进行抽风，微负压收集，经管道引至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套“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UV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光氧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活性炭吸附装置”处理后由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根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15m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高排气筒；④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lang w:val="en-US" w:eastAsia="zh-CN"/>
              </w:rPr>
              <w:t>天然气燃烧废气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lang w:val="en-US" w:eastAsia="zh-CN"/>
              </w:rPr>
              <w:t>采用低氮燃烧器，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 w:bidi="ar-SA"/>
              </w:rPr>
              <w:t>与喷塑流水线固化工序有机废气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 w:bidi="ar-SA"/>
              </w:rPr>
              <w:t>共用1根15m高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 w:bidi="ar-SA"/>
              </w:rPr>
              <w:t>排气筒排放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、噪声：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工程选用低噪声设备，采取减振、隔声等降噪措施对设备噪声进行控制，各厂界噪声应满足《工业企业厂界环境噪声排放标准》（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GB12348-2008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类标准要求。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、固体废物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：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lang w:eastAsia="zh-CN"/>
              </w:rPr>
              <w:t>生活垃圾在厂区收集后交由环卫部门统一处理；废边角料、焊接打磨工序配套的袋式除尘器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收集的粉尘、</w:t>
            </w:r>
            <w:r>
              <w:rPr>
                <w:rFonts w:hint="eastAsia" w:ascii="Times New Roman" w:hAnsi="宋体"/>
                <w:bCs/>
                <w:color w:val="auto"/>
                <w:sz w:val="21"/>
                <w:szCs w:val="21"/>
                <w:lang w:eastAsia="zh-CN"/>
              </w:rPr>
              <w:t>废灯管（不含汞）、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废焊丝</w:t>
            </w:r>
            <w:r>
              <w:rPr>
                <w:rFonts w:hint="eastAsia" w:ascii="Times New Roman" w:hAnsi="宋体"/>
                <w:bCs/>
                <w:color w:val="auto"/>
                <w:sz w:val="21"/>
                <w:szCs w:val="21"/>
                <w:lang w:eastAsia="zh-CN"/>
              </w:rPr>
              <w:t>收集后</w:t>
            </w:r>
            <w:r>
              <w:rPr>
                <w:rFonts w:hint="eastAsia" w:ascii="Times New Roman" w:hAnsi="宋体"/>
                <w:color w:val="auto"/>
                <w:kern w:val="2"/>
                <w:sz w:val="21"/>
                <w:szCs w:val="21"/>
                <w:lang w:val="en-US" w:eastAsia="zh-CN"/>
              </w:rPr>
              <w:t>暂存在一般固废暂存间内，定期外售，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喷塑工序废气处理收集的粉尘收集后回用</w:t>
            </w:r>
            <w:r>
              <w:rPr>
                <w:rFonts w:hint="default" w:ascii="Times New Roman" w:hAnsi="Times New Roman"/>
                <w:color w:val="000000"/>
                <w:kern w:val="21"/>
                <w:sz w:val="21"/>
                <w:szCs w:val="21"/>
              </w:rPr>
              <w:t>；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lang w:eastAsia="zh-CN"/>
              </w:rPr>
              <w:t>危</w:t>
            </w:r>
            <w:r>
              <w:rPr>
                <w:rFonts w:hint="eastAsia" w:ascii="Times New Roman" w:hAnsi="宋体"/>
                <w:bCs/>
                <w:color w:val="auto"/>
                <w:sz w:val="21"/>
                <w:szCs w:val="21"/>
                <w:lang w:eastAsia="zh-CN"/>
              </w:rPr>
              <w:t>险固废主要为废气治理产生的废活性炭、以及设备检修维护过程产生的废机油、废机油桶，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废活性炭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机油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密闭容器收集，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废机油桶放置在托盘上，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分区存放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定期委托有资质的危险废物处理单位安全处置</w:t>
            </w:r>
            <w:r>
              <w:rPr>
                <w:rFonts w:hint="default" w:ascii="Times New Roman" w:hAnsi="Times New Roman"/>
                <w:color w:val="000000"/>
                <w:kern w:val="21"/>
                <w:sz w:val="21"/>
                <w:szCs w:val="21"/>
              </w:rPr>
              <w:t>。</w:t>
            </w:r>
          </w:p>
        </w:tc>
      </w:tr>
    </w:tbl>
    <w:p/>
    <w:sectPr>
      <w:pgSz w:w="16838" w:h="11906" w:orient="landscape"/>
      <w:pgMar w:top="1474" w:right="1588" w:bottom="147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I0M2I4N2QxOWFjMzU3YmQ3Yjc1YzZlMDQ2ZjBjNDAifQ=="/>
  </w:docVars>
  <w:rsids>
    <w:rsidRoot w:val="02F72450"/>
    <w:rsid w:val="00013EB8"/>
    <w:rsid w:val="00032F7A"/>
    <w:rsid w:val="00056DA8"/>
    <w:rsid w:val="000D0072"/>
    <w:rsid w:val="000E774C"/>
    <w:rsid w:val="000F7BBC"/>
    <w:rsid w:val="001064C0"/>
    <w:rsid w:val="00120DB2"/>
    <w:rsid w:val="00173A9D"/>
    <w:rsid w:val="00175A80"/>
    <w:rsid w:val="001A591F"/>
    <w:rsid w:val="001C1B69"/>
    <w:rsid w:val="001D10B4"/>
    <w:rsid w:val="001E1D08"/>
    <w:rsid w:val="001E2A8D"/>
    <w:rsid w:val="00221BD9"/>
    <w:rsid w:val="0023520D"/>
    <w:rsid w:val="00244621"/>
    <w:rsid w:val="00251348"/>
    <w:rsid w:val="00282012"/>
    <w:rsid w:val="002A404E"/>
    <w:rsid w:val="002C175F"/>
    <w:rsid w:val="00321146"/>
    <w:rsid w:val="003955E9"/>
    <w:rsid w:val="003C6E0F"/>
    <w:rsid w:val="003E38AB"/>
    <w:rsid w:val="00465F79"/>
    <w:rsid w:val="004700C1"/>
    <w:rsid w:val="00483ED3"/>
    <w:rsid w:val="004B5F52"/>
    <w:rsid w:val="004E746F"/>
    <w:rsid w:val="00500BAA"/>
    <w:rsid w:val="00627E03"/>
    <w:rsid w:val="006322A0"/>
    <w:rsid w:val="00641BB9"/>
    <w:rsid w:val="006A377F"/>
    <w:rsid w:val="006E5D8B"/>
    <w:rsid w:val="006F12C2"/>
    <w:rsid w:val="006F4CFC"/>
    <w:rsid w:val="00711BC6"/>
    <w:rsid w:val="00716C75"/>
    <w:rsid w:val="00773AA5"/>
    <w:rsid w:val="00777949"/>
    <w:rsid w:val="007A1B2D"/>
    <w:rsid w:val="007A4004"/>
    <w:rsid w:val="007B1A2A"/>
    <w:rsid w:val="007F2CA0"/>
    <w:rsid w:val="00801EBC"/>
    <w:rsid w:val="00890BAD"/>
    <w:rsid w:val="008918E7"/>
    <w:rsid w:val="008B1FCE"/>
    <w:rsid w:val="008D1DD5"/>
    <w:rsid w:val="008F5F29"/>
    <w:rsid w:val="0096378F"/>
    <w:rsid w:val="009A1DCD"/>
    <w:rsid w:val="009D41E1"/>
    <w:rsid w:val="009F468C"/>
    <w:rsid w:val="00A1704C"/>
    <w:rsid w:val="00A222A2"/>
    <w:rsid w:val="00A266EB"/>
    <w:rsid w:val="00A415AC"/>
    <w:rsid w:val="00A96FA6"/>
    <w:rsid w:val="00B07FE8"/>
    <w:rsid w:val="00B25D63"/>
    <w:rsid w:val="00B42394"/>
    <w:rsid w:val="00B55070"/>
    <w:rsid w:val="00B82A97"/>
    <w:rsid w:val="00B95730"/>
    <w:rsid w:val="00BB1E68"/>
    <w:rsid w:val="00C00B05"/>
    <w:rsid w:val="00C60A64"/>
    <w:rsid w:val="00CD777E"/>
    <w:rsid w:val="00CF6E04"/>
    <w:rsid w:val="00D041D9"/>
    <w:rsid w:val="00D22F60"/>
    <w:rsid w:val="00D83101"/>
    <w:rsid w:val="00D834E3"/>
    <w:rsid w:val="00DB2071"/>
    <w:rsid w:val="00DC090E"/>
    <w:rsid w:val="00DD3551"/>
    <w:rsid w:val="00E02BC4"/>
    <w:rsid w:val="00E05300"/>
    <w:rsid w:val="00E27F07"/>
    <w:rsid w:val="00E96B62"/>
    <w:rsid w:val="00F46C03"/>
    <w:rsid w:val="00F60A70"/>
    <w:rsid w:val="00F855AC"/>
    <w:rsid w:val="00F94B8F"/>
    <w:rsid w:val="02F72450"/>
    <w:rsid w:val="06600C79"/>
    <w:rsid w:val="07AF1E67"/>
    <w:rsid w:val="114105BA"/>
    <w:rsid w:val="175975CB"/>
    <w:rsid w:val="1A595693"/>
    <w:rsid w:val="1B7C72FE"/>
    <w:rsid w:val="1D713B37"/>
    <w:rsid w:val="1FCD1D53"/>
    <w:rsid w:val="257E090B"/>
    <w:rsid w:val="31EA3933"/>
    <w:rsid w:val="32140D59"/>
    <w:rsid w:val="36865A1B"/>
    <w:rsid w:val="375006D7"/>
    <w:rsid w:val="3B9C0577"/>
    <w:rsid w:val="3DA03245"/>
    <w:rsid w:val="41496E60"/>
    <w:rsid w:val="444306B4"/>
    <w:rsid w:val="487D4D62"/>
    <w:rsid w:val="4F685691"/>
    <w:rsid w:val="50137DC6"/>
    <w:rsid w:val="556E1D41"/>
    <w:rsid w:val="57690E03"/>
    <w:rsid w:val="5AAC50E0"/>
    <w:rsid w:val="5F6E6039"/>
    <w:rsid w:val="620F0E3C"/>
    <w:rsid w:val="62A77163"/>
    <w:rsid w:val="63C17BCC"/>
    <w:rsid w:val="774F11FF"/>
    <w:rsid w:val="7B4366D9"/>
    <w:rsid w:val="7E8A7865"/>
    <w:rsid w:val="7FA15F8E"/>
    <w:rsid w:val="7FA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spacing w:after="120"/>
      <w:ind w:left="420" w:leftChars="200"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 w:val="24"/>
      <w:szCs w:val="20"/>
    </w:rPr>
  </w:style>
  <w:style w:type="paragraph" w:styleId="5">
    <w:name w:val="Normal Indent"/>
    <w:basedOn w:val="1"/>
    <w:link w:val="1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6">
    <w:name w:val="Body Text"/>
    <w:basedOn w:val="1"/>
    <w:link w:val="16"/>
    <w:qFormat/>
    <w:uiPriority w:val="0"/>
    <w:pPr>
      <w:spacing w:after="120" w:afterLines="0" w:afterAutospacing="0"/>
    </w:pPr>
  </w:style>
  <w:style w:type="paragraph" w:styleId="7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/>
      <w:spacing w:line="500" w:lineRule="exac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6">
    <w:name w:val="正文文本 Char"/>
    <w:basedOn w:val="12"/>
    <w:link w:val="6"/>
    <w:qFormat/>
    <w:uiPriority w:val="0"/>
    <w:rPr>
      <w:kern w:val="2"/>
      <w:sz w:val="21"/>
    </w:rPr>
  </w:style>
  <w:style w:type="character" w:customStyle="1" w:styleId="17">
    <w:name w:val="正文缩进 Char"/>
    <w:basedOn w:val="12"/>
    <w:link w:val="5"/>
    <w:qFormat/>
    <w:uiPriority w:val="0"/>
    <w:rPr>
      <w:kern w:val="2"/>
      <w:sz w:val="21"/>
    </w:rPr>
  </w:style>
  <w:style w:type="paragraph" w:styleId="18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sz w:val="24"/>
    </w:rPr>
  </w:style>
  <w:style w:type="character" w:customStyle="1" w:styleId="19">
    <w:name w:val="报告正文 Char"/>
    <w:link w:val="20"/>
    <w:qFormat/>
    <w:uiPriority w:val="0"/>
    <w:rPr>
      <w:rFonts w:ascii="宋体" w:hAnsi="宋体"/>
      <w:sz w:val="28"/>
    </w:rPr>
  </w:style>
  <w:style w:type="paragraph" w:customStyle="1" w:styleId="20">
    <w:name w:val="报告正文"/>
    <w:basedOn w:val="1"/>
    <w:link w:val="19"/>
    <w:qFormat/>
    <w:uiPriority w:val="0"/>
    <w:pPr>
      <w:snapToGrid w:val="0"/>
      <w:spacing w:line="360" w:lineRule="auto"/>
      <w:ind w:firstLine="200" w:firstLineChars="200"/>
    </w:pPr>
    <w:rPr>
      <w:rFonts w:ascii="宋体" w:hAnsi="宋体"/>
      <w:sz w:val="28"/>
    </w:rPr>
  </w:style>
  <w:style w:type="character" w:customStyle="1" w:styleId="2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1264</Words>
  <Characters>1326</Characters>
  <Lines>9</Lines>
  <Paragraphs>2</Paragraphs>
  <TotalTime>1</TotalTime>
  <ScaleCrop>false</ScaleCrop>
  <LinksUpToDate>false</LinksUpToDate>
  <CharactersWithSpaces>1326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苍海（杜家坤）</cp:lastModifiedBy>
  <dcterms:modified xsi:type="dcterms:W3CDTF">2023-11-24T00:04:48Z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CBF00FE6FEC845468DDB65B2EEDF6528</vt:lpwstr>
  </property>
</Properties>
</file>