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b w:val="0"/>
          <w:bCs/>
          <w:color w:val="auto"/>
          <w:sz w:val="24"/>
          <w:szCs w:val="24"/>
          <w:lang w:val="en-US" w:eastAsia="zh-CN"/>
        </w:rPr>
      </w:pPr>
      <w:r>
        <w:rPr>
          <w:rFonts w:hint="eastAsia" w:ascii="宋体" w:hAnsi="宋体" w:eastAsia="宋体" w:cs="宋体"/>
          <w:b w:val="0"/>
          <w:bCs/>
          <w:sz w:val="24"/>
          <w:szCs w:val="24"/>
          <w:lang w:val="en-US" w:eastAsia="zh-CN"/>
        </w:rPr>
        <w:t xml:space="preserve">审批意见                                     </w:t>
      </w:r>
      <w:r>
        <w:rPr>
          <w:rFonts w:hint="eastAsia" w:ascii="宋体" w:hAnsi="宋体" w:eastAsia="宋体" w:cs="宋体"/>
          <w:b w:val="0"/>
          <w:bCs/>
          <w:color w:val="0000FF"/>
          <w:sz w:val="24"/>
          <w:szCs w:val="24"/>
          <w:lang w:val="en-US" w:eastAsia="zh-CN"/>
        </w:rPr>
        <w:t xml:space="preserve"> </w:t>
      </w:r>
      <w:r>
        <w:rPr>
          <w:rFonts w:hint="eastAsia" w:ascii="宋体" w:hAnsi="宋体" w:eastAsia="宋体" w:cs="宋体"/>
          <w:b w:val="0"/>
          <w:bCs/>
          <w:color w:val="FF0000"/>
          <w:sz w:val="24"/>
          <w:szCs w:val="24"/>
          <w:lang w:val="en-US" w:eastAsia="zh-CN"/>
        </w:rPr>
        <w:t xml:space="preserve"> </w:t>
      </w:r>
      <w:r>
        <w:rPr>
          <w:rFonts w:hint="eastAsia" w:ascii="宋体" w:hAnsi="宋体" w:cs="宋体"/>
          <w:b w:val="0"/>
          <w:bCs/>
          <w:color w:val="FF0000"/>
          <w:sz w:val="24"/>
          <w:szCs w:val="24"/>
          <w:lang w:val="en-US" w:eastAsia="zh-CN"/>
        </w:rPr>
        <w:t xml:space="preserve">     </w:t>
      </w:r>
      <w:r>
        <w:rPr>
          <w:rFonts w:hint="eastAsia" w:ascii="宋体" w:hAnsi="宋体" w:eastAsia="宋体" w:cs="宋体"/>
          <w:b w:val="0"/>
          <w:bCs/>
          <w:color w:val="auto"/>
          <w:sz w:val="24"/>
          <w:szCs w:val="24"/>
          <w:lang w:val="en-US" w:eastAsia="zh-CN"/>
        </w:rPr>
        <w:t xml:space="preserve"> 民环审[202</w:t>
      </w:r>
      <w:r>
        <w:rPr>
          <w:rFonts w:hint="eastAsia" w:ascii="宋体" w:hAnsi="宋体" w:cs="宋体"/>
          <w:b w:val="0"/>
          <w:bCs/>
          <w:color w:val="auto"/>
          <w:sz w:val="24"/>
          <w:szCs w:val="24"/>
          <w:lang w:val="en-US" w:eastAsia="zh-CN"/>
        </w:rPr>
        <w:t>3</w:t>
      </w:r>
      <w:r>
        <w:rPr>
          <w:rFonts w:hint="eastAsia" w:ascii="宋体" w:hAnsi="宋体" w:eastAsia="宋体" w:cs="宋体"/>
          <w:b w:val="0"/>
          <w:bCs/>
          <w:color w:val="auto"/>
          <w:sz w:val="24"/>
          <w:szCs w:val="24"/>
          <w:lang w:val="en-US" w:eastAsia="zh-CN"/>
        </w:rPr>
        <w:t>]第</w:t>
      </w:r>
      <w:r>
        <w:rPr>
          <w:rFonts w:hint="eastAsia" w:ascii="宋体" w:hAnsi="宋体" w:cs="宋体"/>
          <w:b w:val="0"/>
          <w:bCs/>
          <w:color w:val="auto"/>
          <w:sz w:val="24"/>
          <w:szCs w:val="24"/>
          <w:highlight w:val="none"/>
          <w:lang w:val="en-US" w:eastAsia="zh-CN"/>
        </w:rPr>
        <w:t>031</w:t>
      </w:r>
      <w:r>
        <w:rPr>
          <w:rFonts w:hint="eastAsia" w:ascii="宋体" w:hAnsi="宋体" w:eastAsia="宋体" w:cs="宋体"/>
          <w:b w:val="0"/>
          <w:bCs/>
          <w:color w:val="auto"/>
          <w:sz w:val="24"/>
          <w:szCs w:val="24"/>
          <w:lang w:val="en-US" w:eastAsia="zh-CN"/>
        </w:rPr>
        <w:t>号</w:t>
      </w:r>
    </w:p>
    <w:p>
      <w:pPr>
        <w:spacing w:line="360" w:lineRule="auto"/>
        <w:jc w:val="center"/>
        <w:rPr>
          <w:rFonts w:hint="eastAsia" w:ascii="宋体" w:hAnsi="宋体" w:eastAsia="宋体" w:cs="宋体"/>
          <w:b w:val="0"/>
          <w:bCs/>
          <w:color w:val="auto"/>
          <w:sz w:val="24"/>
          <w:szCs w:val="24"/>
          <w:lang w:val="en-US" w:eastAsia="zh-CN"/>
        </w:rPr>
      </w:pPr>
    </w:p>
    <w:p>
      <w:pPr>
        <w:spacing w:line="360" w:lineRule="auto"/>
        <w:jc w:val="center"/>
        <w:rPr>
          <w:rFonts w:hint="eastAsia" w:asciiTheme="majorEastAsia" w:hAnsiTheme="majorEastAsia" w:eastAsiaTheme="majorEastAsia" w:cstheme="majorEastAsia"/>
          <w:b/>
          <w:bCs w:val="0"/>
          <w:spacing w:val="-14"/>
          <w:sz w:val="30"/>
          <w:szCs w:val="30"/>
          <w:lang w:val="en-US" w:eastAsia="zh-CN"/>
        </w:rPr>
      </w:pPr>
      <w:r>
        <w:rPr>
          <w:rFonts w:hint="eastAsia" w:asciiTheme="majorEastAsia" w:hAnsiTheme="majorEastAsia" w:eastAsiaTheme="majorEastAsia" w:cstheme="majorEastAsia"/>
          <w:b/>
          <w:bCs w:val="0"/>
          <w:spacing w:val="-14"/>
          <w:sz w:val="30"/>
          <w:szCs w:val="30"/>
          <w:lang w:val="en-US" w:eastAsia="zh-CN"/>
        </w:rPr>
        <w:t>商丘市生态环境局民权分局</w:t>
      </w:r>
    </w:p>
    <w:p>
      <w:pPr>
        <w:spacing w:line="360" w:lineRule="auto"/>
        <w:jc w:val="center"/>
        <w:rPr>
          <w:rFonts w:hint="eastAsia" w:asciiTheme="majorEastAsia" w:hAnsiTheme="majorEastAsia" w:eastAsiaTheme="majorEastAsia" w:cstheme="majorEastAsia"/>
          <w:b/>
          <w:bCs w:val="0"/>
          <w:spacing w:val="-14"/>
          <w:sz w:val="30"/>
          <w:szCs w:val="30"/>
          <w:lang w:val="en-US" w:eastAsia="zh-CN"/>
        </w:rPr>
      </w:pPr>
      <w:r>
        <w:rPr>
          <w:rFonts w:hint="eastAsia" w:asciiTheme="majorEastAsia" w:hAnsiTheme="majorEastAsia" w:eastAsiaTheme="majorEastAsia" w:cstheme="majorEastAsia"/>
          <w:b/>
          <w:bCs w:val="0"/>
          <w:spacing w:val="-14"/>
          <w:sz w:val="30"/>
          <w:szCs w:val="30"/>
        </w:rPr>
        <w:t>关于</w:t>
      </w:r>
      <w:r>
        <w:rPr>
          <w:rFonts w:hint="eastAsia" w:asciiTheme="majorEastAsia" w:hAnsiTheme="majorEastAsia" w:eastAsiaTheme="majorEastAsia" w:cstheme="majorEastAsia"/>
          <w:b/>
          <w:bCs w:val="0"/>
          <w:spacing w:val="-14"/>
          <w:sz w:val="30"/>
          <w:szCs w:val="30"/>
          <w:lang w:val="en-US" w:eastAsia="zh-CN"/>
        </w:rPr>
        <w:t>河南钢万宏金属材料有限公司年加工26万吨不锈钢制品建设项目</w:t>
      </w:r>
    </w:p>
    <w:p>
      <w:pPr>
        <w:spacing w:line="360" w:lineRule="auto"/>
        <w:jc w:val="center"/>
        <w:rPr>
          <w:rFonts w:hint="eastAsia" w:asciiTheme="majorEastAsia" w:hAnsiTheme="majorEastAsia" w:eastAsiaTheme="majorEastAsia" w:cstheme="majorEastAsia"/>
          <w:b w:val="0"/>
          <w:bCs/>
          <w:spacing w:val="-14"/>
          <w:sz w:val="30"/>
          <w:szCs w:val="30"/>
        </w:rPr>
      </w:pPr>
      <w:r>
        <w:rPr>
          <w:rFonts w:hint="eastAsia" w:asciiTheme="majorEastAsia" w:hAnsiTheme="majorEastAsia" w:eastAsiaTheme="majorEastAsia" w:cstheme="majorEastAsia"/>
          <w:b/>
          <w:bCs w:val="0"/>
          <w:spacing w:val="-14"/>
          <w:sz w:val="30"/>
          <w:szCs w:val="30"/>
        </w:rPr>
        <w:t>环境影响</w:t>
      </w:r>
      <w:r>
        <w:rPr>
          <w:rFonts w:hint="eastAsia" w:asciiTheme="majorEastAsia" w:hAnsiTheme="majorEastAsia" w:eastAsiaTheme="majorEastAsia" w:cstheme="majorEastAsia"/>
          <w:b/>
          <w:bCs w:val="0"/>
          <w:spacing w:val="-14"/>
          <w:sz w:val="30"/>
          <w:szCs w:val="30"/>
          <w:lang w:eastAsia="zh-CN"/>
        </w:rPr>
        <w:t>报告书</w:t>
      </w:r>
      <w:r>
        <w:rPr>
          <w:rFonts w:hint="eastAsia" w:asciiTheme="majorEastAsia" w:hAnsiTheme="majorEastAsia" w:eastAsiaTheme="majorEastAsia" w:cstheme="majorEastAsia"/>
          <w:b/>
          <w:bCs w:val="0"/>
          <w:spacing w:val="-14"/>
          <w:sz w:val="30"/>
          <w:szCs w:val="30"/>
        </w:rPr>
        <w:t>的批复</w:t>
      </w:r>
    </w:p>
    <w:p>
      <w:pPr>
        <w:keepNext w:val="0"/>
        <w:keepLines w:val="0"/>
        <w:pageBreakBefore w:val="0"/>
        <w:widowControl w:val="0"/>
        <w:kinsoku/>
        <w:wordWrap/>
        <w:overflowPunct/>
        <w:topLinePunct w:val="0"/>
        <w:autoSpaceDE/>
        <w:autoSpaceDN/>
        <w:bidi w:val="0"/>
        <w:adjustRightInd w:val="0"/>
        <w:snapToGrid w:val="0"/>
        <w:spacing w:line="420" w:lineRule="exact"/>
        <w:textAlignment w:val="auto"/>
        <w:rPr>
          <w:rFonts w:hint="eastAsia" w:ascii="仿宋" w:hAnsi="仿宋" w:eastAsia="仿宋" w:cs="仿宋"/>
          <w:color w:val="auto"/>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420" w:lineRule="exact"/>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河南钢万宏金属材料有限公司</w:t>
      </w:r>
      <w:r>
        <w:rPr>
          <w:rFonts w:hint="default" w:ascii="仿宋" w:hAnsi="仿宋" w:eastAsia="仿宋" w:cs="仿宋"/>
          <w:color w:val="auto"/>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仿宋" w:hAnsi="仿宋" w:eastAsia="仿宋" w:cs="仿宋"/>
          <w:color w:val="auto"/>
          <w:sz w:val="24"/>
          <w:szCs w:val="24"/>
          <w:lang w:val="en-US" w:eastAsia="zh-CN"/>
        </w:rPr>
      </w:pPr>
      <w:r>
        <w:rPr>
          <w:rFonts w:hint="default" w:ascii="仿宋" w:hAnsi="仿宋" w:eastAsia="仿宋" w:cs="仿宋"/>
          <w:color w:val="auto"/>
          <w:sz w:val="24"/>
          <w:szCs w:val="24"/>
          <w:lang w:val="en-US" w:eastAsia="zh-CN"/>
        </w:rPr>
        <w:t>你公司</w:t>
      </w:r>
      <w:r>
        <w:rPr>
          <w:rFonts w:hint="eastAsia" w:ascii="仿宋" w:hAnsi="仿宋" w:eastAsia="仿宋" w:cs="仿宋"/>
          <w:color w:val="auto"/>
          <w:sz w:val="24"/>
          <w:szCs w:val="24"/>
          <w:lang w:val="en-US" w:eastAsia="zh-CN"/>
        </w:rPr>
        <w:t>（统一社会信用代码</w:t>
      </w:r>
      <w:r>
        <w:rPr>
          <w:rFonts w:hint="eastAsia" w:ascii="仿宋" w:hAnsi="仿宋" w:eastAsia="仿宋" w:cs="仿宋"/>
          <w:color w:val="auto"/>
          <w:sz w:val="24"/>
          <w:szCs w:val="24"/>
          <w:lang w:val="en-US" w:eastAsia="zh-CN"/>
        </w:rPr>
        <w:t>91411421MA9KW6J89B</w:t>
      </w:r>
      <w:r>
        <w:rPr>
          <w:rFonts w:hint="eastAsia" w:ascii="仿宋" w:hAnsi="仿宋" w:eastAsia="仿宋" w:cs="仿宋"/>
          <w:color w:val="auto"/>
          <w:sz w:val="24"/>
          <w:szCs w:val="24"/>
          <w:lang w:val="en-US" w:eastAsia="zh-CN"/>
        </w:rPr>
        <w:t>）</w:t>
      </w:r>
      <w:r>
        <w:rPr>
          <w:rFonts w:hint="default" w:ascii="仿宋" w:hAnsi="仿宋" w:eastAsia="仿宋" w:cs="仿宋"/>
          <w:color w:val="auto"/>
          <w:sz w:val="24"/>
          <w:szCs w:val="24"/>
          <w:lang w:val="en-US" w:eastAsia="zh-CN"/>
        </w:rPr>
        <w:t>报送的由</w:t>
      </w:r>
      <w:r>
        <w:rPr>
          <w:rFonts w:hint="eastAsia" w:ascii="仿宋" w:hAnsi="仿宋" w:eastAsia="仿宋" w:cs="仿宋"/>
          <w:color w:val="auto"/>
          <w:sz w:val="24"/>
          <w:szCs w:val="24"/>
          <w:lang w:val="en-US" w:eastAsia="zh-CN"/>
        </w:rPr>
        <w:t>郑州市东方环宇环境工程有限公司</w:t>
      </w:r>
      <w:r>
        <w:rPr>
          <w:rFonts w:hint="default" w:ascii="仿宋" w:hAnsi="仿宋" w:eastAsia="仿宋" w:cs="仿宋"/>
          <w:color w:val="auto"/>
          <w:sz w:val="24"/>
          <w:szCs w:val="24"/>
          <w:lang w:val="en-US" w:eastAsia="zh-CN"/>
        </w:rPr>
        <w:t>编制完成的《</w:t>
      </w:r>
      <w:r>
        <w:rPr>
          <w:rFonts w:hint="eastAsia" w:ascii="仿宋" w:hAnsi="仿宋" w:eastAsia="仿宋" w:cs="仿宋"/>
          <w:color w:val="auto"/>
          <w:sz w:val="24"/>
          <w:szCs w:val="24"/>
          <w:lang w:val="en-US" w:eastAsia="zh-CN"/>
        </w:rPr>
        <w:t>河南钢万宏金属材料有限公司年加工26万吨不锈钢制品建设项目</w:t>
      </w:r>
      <w:r>
        <w:rPr>
          <w:rFonts w:hint="default" w:ascii="仿宋" w:hAnsi="仿宋" w:eastAsia="仿宋" w:cs="仿宋"/>
          <w:color w:val="auto"/>
          <w:sz w:val="24"/>
          <w:szCs w:val="24"/>
          <w:lang w:val="en-US" w:eastAsia="zh-CN"/>
        </w:rPr>
        <w:t>环境影响</w:t>
      </w:r>
      <w:r>
        <w:rPr>
          <w:rFonts w:hint="eastAsia" w:ascii="仿宋" w:hAnsi="仿宋" w:eastAsia="仿宋" w:cs="仿宋"/>
          <w:color w:val="auto"/>
          <w:sz w:val="24"/>
          <w:szCs w:val="24"/>
          <w:lang w:val="en-US" w:eastAsia="zh-CN"/>
        </w:rPr>
        <w:t>报告书</w:t>
      </w:r>
      <w:r>
        <w:rPr>
          <w:rFonts w:hint="default" w:ascii="仿宋" w:hAnsi="仿宋" w:eastAsia="仿宋" w:cs="仿宋"/>
          <w:color w:val="auto"/>
          <w:sz w:val="24"/>
          <w:szCs w:val="24"/>
          <w:lang w:val="en-US" w:eastAsia="zh-CN"/>
        </w:rPr>
        <w:t>（报批版）》（以下简称“</w:t>
      </w:r>
      <w:r>
        <w:rPr>
          <w:rFonts w:hint="eastAsia" w:ascii="仿宋" w:hAnsi="仿宋" w:eastAsia="仿宋" w:cs="仿宋"/>
          <w:color w:val="auto"/>
          <w:sz w:val="24"/>
          <w:szCs w:val="24"/>
          <w:lang w:val="en-US" w:eastAsia="zh-CN"/>
        </w:rPr>
        <w:t>报告书</w:t>
      </w:r>
      <w:r>
        <w:rPr>
          <w:rFonts w:hint="default" w:ascii="仿宋" w:hAnsi="仿宋" w:eastAsia="仿宋" w:cs="仿宋"/>
          <w:color w:val="auto"/>
          <w:sz w:val="24"/>
          <w:szCs w:val="24"/>
          <w:lang w:val="en-US" w:eastAsia="zh-CN"/>
        </w:rPr>
        <w:t>”）已收悉。</w:t>
      </w:r>
      <w:r>
        <w:rPr>
          <w:rFonts w:hint="eastAsia" w:ascii="仿宋" w:hAnsi="仿宋" w:eastAsia="仿宋" w:cs="仿宋"/>
          <w:color w:val="auto"/>
          <w:sz w:val="24"/>
          <w:szCs w:val="24"/>
          <w:lang w:val="en-US" w:eastAsia="zh-CN"/>
        </w:rPr>
        <w:t>项目拟审批事项已在民权县政府网站公示期满，无异议。经研究，批</w:t>
      </w:r>
      <w:bookmarkStart w:id="0" w:name="_GoBack"/>
      <w:bookmarkEnd w:id="0"/>
      <w:r>
        <w:rPr>
          <w:rFonts w:hint="eastAsia" w:ascii="仿宋" w:hAnsi="仿宋" w:eastAsia="仿宋" w:cs="仿宋"/>
          <w:color w:val="auto"/>
          <w:sz w:val="24"/>
          <w:szCs w:val="24"/>
          <w:lang w:val="en-US" w:eastAsia="zh-CN"/>
        </w:rPr>
        <w:t>复如下：</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一、《报告表》内容符合国家有关法律法规要求和建设项目环境管理规定，评价结论可信，我局批准该《报告表》。原则同意你公司按照《报告表》所列项目的性质、规模、地点、采用的生产工艺和环境保护对策进行项目建设。</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二、你公司应向社会主动公开经批准的《报告表》，并接受相关方的咨询。</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三、你公司应全面落实《报告表》提出的各项目环境保护措施，确保各项环境保护设施与主体工程同时设计、同时施工、同时投入使用，确保各项污染物达标排放。</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（一）向设计单位提供《报告表》和本批复文件，确保项目设计按照环境保护设计规范要求，落实防治环境污染和生态破坏的措施以及环保设施投资概算。</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（二）依据《报告表》和本批复文件，对项目建设过程中产生的废水、废气、固体废物、噪声、震动等污染，以及因施工对自然、生态环境造成的破坏，采取相应的防治措施。</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（三）项目运行时，外排污染物应满足以下要求：</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仿宋" w:hAnsi="仿宋" w:eastAsia="仿宋" w:cs="仿宋"/>
          <w:color w:val="auto"/>
          <w:sz w:val="24"/>
          <w:szCs w:val="24"/>
          <w:lang w:val="en-US" w:eastAsia="zh-CN"/>
        </w:rPr>
      </w:pPr>
      <w:r>
        <w:rPr>
          <w:rFonts w:hint="default" w:ascii="仿宋" w:hAnsi="仿宋" w:eastAsia="仿宋" w:cs="仿宋"/>
          <w:color w:val="auto"/>
          <w:sz w:val="24"/>
          <w:szCs w:val="24"/>
          <w:lang w:val="en-US" w:eastAsia="zh-CN"/>
        </w:rPr>
        <w:t>1、废水：</w:t>
      </w:r>
      <w:r>
        <w:rPr>
          <w:rFonts w:hint="eastAsia" w:ascii="仿宋" w:hAnsi="仿宋" w:eastAsia="仿宋" w:cs="仿宋"/>
          <w:color w:val="auto"/>
          <w:sz w:val="24"/>
          <w:szCs w:val="24"/>
          <w:lang w:val="en-US" w:eastAsia="zh-CN"/>
        </w:rPr>
        <w:t>（1）场区建设雨污分流系统，初期雨水收集并进行处理；（2）</w:t>
      </w:r>
      <w:r>
        <w:rPr>
          <w:rFonts w:hint="default" w:ascii="仿宋" w:hAnsi="仿宋" w:eastAsia="仿宋" w:cs="仿宋"/>
          <w:color w:val="auto"/>
          <w:sz w:val="24"/>
          <w:szCs w:val="24"/>
          <w:lang w:val="en-US" w:eastAsia="zh-CN"/>
        </w:rPr>
        <w:t>含铬废水经</w:t>
      </w:r>
      <w:r>
        <w:rPr>
          <w:rFonts w:hint="eastAsia" w:ascii="仿宋" w:hAnsi="仿宋" w:eastAsia="仿宋" w:cs="仿宋"/>
          <w:color w:val="auto"/>
          <w:sz w:val="24"/>
          <w:szCs w:val="24"/>
          <w:lang w:val="en-US" w:eastAsia="zh-CN"/>
        </w:rPr>
        <w:t>自建污水处理系统</w:t>
      </w:r>
      <w:r>
        <w:rPr>
          <w:rFonts w:hint="default" w:ascii="仿宋" w:hAnsi="仿宋" w:eastAsia="仿宋" w:cs="仿宋"/>
          <w:color w:val="auto"/>
          <w:sz w:val="24"/>
          <w:szCs w:val="24"/>
          <w:lang w:val="en-US" w:eastAsia="zh-CN"/>
        </w:rPr>
        <w:t>处理</w:t>
      </w:r>
      <w:r>
        <w:rPr>
          <w:rFonts w:hint="eastAsia" w:ascii="仿宋" w:hAnsi="仿宋" w:eastAsia="仿宋" w:cs="仿宋"/>
          <w:color w:val="auto"/>
          <w:sz w:val="24"/>
          <w:szCs w:val="24"/>
          <w:lang w:val="en-US" w:eastAsia="zh-CN"/>
        </w:rPr>
        <w:t>，</w:t>
      </w:r>
      <w:r>
        <w:rPr>
          <w:rFonts w:hint="default" w:ascii="仿宋" w:hAnsi="仿宋" w:eastAsia="仿宋" w:cs="仿宋"/>
          <w:color w:val="auto"/>
          <w:sz w:val="24"/>
          <w:szCs w:val="24"/>
          <w:lang w:val="en-US" w:eastAsia="zh-CN"/>
        </w:rPr>
        <w:t>全部回用不</w:t>
      </w:r>
      <w:r>
        <w:rPr>
          <w:rFonts w:hint="eastAsia" w:ascii="仿宋" w:hAnsi="仿宋" w:eastAsia="仿宋" w:cs="仿宋"/>
          <w:color w:val="auto"/>
          <w:sz w:val="24"/>
          <w:szCs w:val="24"/>
          <w:lang w:val="en-US" w:eastAsia="zh-CN"/>
        </w:rPr>
        <w:t>得</w:t>
      </w:r>
      <w:r>
        <w:rPr>
          <w:rFonts w:hint="default" w:ascii="仿宋" w:hAnsi="仿宋" w:eastAsia="仿宋" w:cs="仿宋"/>
          <w:color w:val="auto"/>
          <w:sz w:val="24"/>
          <w:szCs w:val="24"/>
          <w:lang w:val="en-US" w:eastAsia="zh-CN"/>
        </w:rPr>
        <w:t>外排</w:t>
      </w:r>
      <w:r>
        <w:rPr>
          <w:rFonts w:hint="eastAsia" w:ascii="仿宋" w:hAnsi="仿宋" w:eastAsia="仿宋" w:cs="仿宋"/>
          <w:color w:val="auto"/>
          <w:sz w:val="24"/>
          <w:szCs w:val="24"/>
          <w:lang w:val="en-US" w:eastAsia="zh-CN"/>
        </w:rPr>
        <w:t>；（3）生活污水经隔油池、化粪池处理；（4）</w:t>
      </w:r>
      <w:r>
        <w:rPr>
          <w:rFonts w:hint="default" w:ascii="仿宋" w:hAnsi="仿宋" w:eastAsia="仿宋" w:cs="仿宋"/>
          <w:color w:val="auto"/>
          <w:sz w:val="24"/>
          <w:szCs w:val="24"/>
          <w:lang w:val="en-US" w:eastAsia="zh-CN"/>
        </w:rPr>
        <w:t>硝酸雾碱喷淋废水</w:t>
      </w:r>
      <w:r>
        <w:rPr>
          <w:rFonts w:hint="eastAsia" w:ascii="仿宋" w:hAnsi="仿宋" w:eastAsia="仿宋" w:cs="仿宋"/>
          <w:color w:val="auto"/>
          <w:sz w:val="24"/>
          <w:szCs w:val="24"/>
          <w:lang w:val="en-US" w:eastAsia="zh-CN"/>
        </w:rPr>
        <w:t>及</w:t>
      </w:r>
      <w:r>
        <w:rPr>
          <w:rFonts w:hint="default" w:ascii="仿宋" w:hAnsi="仿宋" w:eastAsia="仿宋" w:cs="仿宋"/>
          <w:color w:val="auto"/>
          <w:sz w:val="24"/>
          <w:szCs w:val="24"/>
          <w:lang w:val="en-US" w:eastAsia="zh-CN"/>
        </w:rPr>
        <w:t>其他生产废水</w:t>
      </w:r>
      <w:r>
        <w:rPr>
          <w:rFonts w:hint="eastAsia" w:ascii="仿宋" w:hAnsi="仿宋" w:eastAsia="仿宋" w:cs="仿宋"/>
          <w:color w:val="auto"/>
          <w:sz w:val="24"/>
          <w:szCs w:val="24"/>
          <w:lang w:val="en-US" w:eastAsia="zh-CN"/>
        </w:rPr>
        <w:t>收集，</w:t>
      </w:r>
      <w:r>
        <w:rPr>
          <w:rFonts w:hint="default" w:ascii="仿宋" w:hAnsi="仿宋" w:eastAsia="仿宋" w:cs="仿宋"/>
          <w:color w:val="auto"/>
          <w:sz w:val="24"/>
          <w:szCs w:val="24"/>
          <w:lang w:val="en-US" w:eastAsia="zh-CN"/>
        </w:rPr>
        <w:t>经</w:t>
      </w:r>
      <w:r>
        <w:rPr>
          <w:rFonts w:hint="eastAsia" w:ascii="仿宋" w:hAnsi="仿宋" w:eastAsia="仿宋" w:cs="仿宋"/>
          <w:color w:val="auto"/>
          <w:sz w:val="24"/>
          <w:szCs w:val="24"/>
          <w:lang w:val="en-US" w:eastAsia="zh-CN"/>
        </w:rPr>
        <w:t>自建污水处理系统</w:t>
      </w:r>
      <w:r>
        <w:rPr>
          <w:rFonts w:hint="default" w:ascii="仿宋" w:hAnsi="仿宋" w:eastAsia="仿宋" w:cs="仿宋"/>
          <w:color w:val="auto"/>
          <w:sz w:val="24"/>
          <w:szCs w:val="24"/>
          <w:lang w:val="en-US" w:eastAsia="zh-CN"/>
        </w:rPr>
        <w:t>处理</w:t>
      </w:r>
      <w:r>
        <w:rPr>
          <w:rFonts w:hint="eastAsia" w:ascii="仿宋" w:hAnsi="仿宋" w:eastAsia="仿宋" w:cs="仿宋"/>
          <w:color w:val="auto"/>
          <w:sz w:val="24"/>
          <w:szCs w:val="24"/>
          <w:lang w:val="en-US" w:eastAsia="zh-CN"/>
        </w:rPr>
        <w:t>，</w:t>
      </w:r>
      <w:r>
        <w:rPr>
          <w:rFonts w:hint="default" w:ascii="仿宋" w:hAnsi="仿宋" w:eastAsia="仿宋" w:cs="仿宋"/>
          <w:color w:val="auto"/>
          <w:sz w:val="24"/>
          <w:szCs w:val="24"/>
          <w:lang w:val="en-US" w:eastAsia="zh-CN"/>
        </w:rPr>
        <w:t>废水与生活污水排入民权县第一污水处理厂进一步处理</w:t>
      </w:r>
      <w:r>
        <w:rPr>
          <w:rFonts w:hint="eastAsia" w:ascii="仿宋" w:hAnsi="仿宋" w:eastAsia="仿宋" w:cs="仿宋"/>
          <w:color w:val="auto"/>
          <w:sz w:val="24"/>
          <w:szCs w:val="24"/>
          <w:lang w:val="en-US" w:eastAsia="zh-CN"/>
        </w:rPr>
        <w:t>。外排废水分别满足《污水综合排放标准》（GB8978-1996）、《电镀污染物排放标准》 (GB21900-2008)及民权县第一污水处理厂进水水质标准要求。</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仿宋" w:hAnsi="仿宋" w:eastAsia="仿宋" w:cs="仿宋"/>
          <w:color w:val="auto"/>
          <w:sz w:val="24"/>
          <w:szCs w:val="24"/>
          <w:lang w:val="en-US" w:eastAsia="zh-CN"/>
        </w:rPr>
      </w:pPr>
      <w:r>
        <w:rPr>
          <w:rFonts w:hint="default" w:ascii="仿宋" w:hAnsi="仿宋" w:eastAsia="仿宋" w:cs="仿宋"/>
          <w:color w:val="auto"/>
          <w:sz w:val="24"/>
          <w:szCs w:val="24"/>
          <w:lang w:val="en-US" w:eastAsia="zh-CN"/>
        </w:rPr>
        <w:t>2、废气：</w:t>
      </w:r>
      <w:r>
        <w:rPr>
          <w:rFonts w:hint="eastAsia" w:ascii="仿宋" w:hAnsi="仿宋" w:eastAsia="仿宋" w:cs="仿宋"/>
          <w:color w:val="auto"/>
          <w:sz w:val="24"/>
          <w:szCs w:val="24"/>
          <w:lang w:val="en-US" w:eastAsia="zh-CN"/>
        </w:rPr>
        <w:t>（1）硝酸雾、硫酸雾、铬酸雾废气收集，</w:t>
      </w:r>
      <w:r>
        <w:rPr>
          <w:rFonts w:hint="default" w:ascii="仿宋" w:hAnsi="仿宋" w:eastAsia="仿宋" w:cs="仿宋"/>
          <w:color w:val="auto"/>
          <w:sz w:val="24"/>
          <w:szCs w:val="24"/>
          <w:lang w:val="en-US" w:eastAsia="zh-CN"/>
        </w:rPr>
        <w:t>经</w:t>
      </w:r>
      <w:r>
        <w:rPr>
          <w:rFonts w:hint="eastAsia" w:ascii="仿宋" w:hAnsi="仿宋" w:eastAsia="仿宋" w:cs="仿宋"/>
          <w:color w:val="auto"/>
          <w:sz w:val="24"/>
          <w:szCs w:val="24"/>
          <w:lang w:val="en-US" w:eastAsia="zh-CN"/>
        </w:rPr>
        <w:t>“密闭收集+酸雾回收+碱喷淋塔5级吸收”</w:t>
      </w:r>
      <w:r>
        <w:rPr>
          <w:rFonts w:hint="default" w:ascii="仿宋" w:hAnsi="仿宋" w:eastAsia="仿宋" w:cs="仿宋"/>
          <w:color w:val="auto"/>
          <w:sz w:val="24"/>
          <w:szCs w:val="24"/>
          <w:lang w:val="en-US" w:eastAsia="zh-CN"/>
        </w:rPr>
        <w:t>处理</w:t>
      </w:r>
      <w:r>
        <w:rPr>
          <w:rFonts w:hint="eastAsia" w:ascii="仿宋" w:hAnsi="仿宋" w:eastAsia="仿宋" w:cs="仿宋"/>
          <w:color w:val="auto"/>
          <w:sz w:val="24"/>
          <w:szCs w:val="24"/>
          <w:lang w:val="en-US" w:eastAsia="zh-CN"/>
        </w:rPr>
        <w:t>，通过15m高排气筒排放；（2）喷砂、焊接、抛光废气经“脉冲滤芯除尘器”处理，分别通过15m高排气筒排放；（3）调漆、真空镀和烘干等工序有机废气收集，经“纸盒+活性炭吸附浓缩+蓄热式催化燃烧（RCO）”处理，通过15m排气筒排放；（5）</w:t>
      </w:r>
      <w:r>
        <w:rPr>
          <w:rFonts w:hint="default" w:ascii="仿宋" w:hAnsi="仿宋" w:eastAsia="仿宋" w:cs="仿宋"/>
          <w:color w:val="auto"/>
          <w:sz w:val="24"/>
          <w:szCs w:val="24"/>
          <w:lang w:val="en-US" w:eastAsia="zh-CN"/>
        </w:rPr>
        <w:t>食堂</w:t>
      </w:r>
      <w:r>
        <w:rPr>
          <w:rFonts w:hint="eastAsia" w:ascii="仿宋" w:hAnsi="仿宋" w:eastAsia="仿宋" w:cs="仿宋"/>
          <w:color w:val="auto"/>
          <w:sz w:val="24"/>
          <w:szCs w:val="24"/>
          <w:lang w:val="en-US" w:eastAsia="zh-CN"/>
        </w:rPr>
        <w:t>油烟</w:t>
      </w:r>
      <w:r>
        <w:rPr>
          <w:rFonts w:hint="default" w:ascii="仿宋" w:hAnsi="仿宋" w:eastAsia="仿宋" w:cs="仿宋"/>
          <w:color w:val="auto"/>
          <w:sz w:val="24"/>
          <w:szCs w:val="24"/>
          <w:lang w:val="en-US" w:eastAsia="zh-CN"/>
        </w:rPr>
        <w:t>经湿式净化（运水烟罩）+静电式+吸附/等离子复合式净化设备处理</w:t>
      </w:r>
      <w:r>
        <w:rPr>
          <w:rFonts w:hint="eastAsia" w:ascii="仿宋" w:hAnsi="仿宋" w:eastAsia="仿宋" w:cs="仿宋"/>
          <w:color w:val="auto"/>
          <w:sz w:val="24"/>
          <w:szCs w:val="24"/>
          <w:lang w:val="en-US" w:eastAsia="zh-CN"/>
        </w:rPr>
        <w:t>，由专用烟道</w:t>
      </w:r>
      <w:r>
        <w:rPr>
          <w:rFonts w:hint="default" w:ascii="仿宋" w:hAnsi="仿宋" w:eastAsia="仿宋" w:cs="仿宋"/>
          <w:color w:val="auto"/>
          <w:sz w:val="24"/>
          <w:szCs w:val="24"/>
          <w:lang w:val="en-US" w:eastAsia="zh-CN"/>
        </w:rPr>
        <w:t>引至屋顶排放</w:t>
      </w:r>
      <w:r>
        <w:rPr>
          <w:rFonts w:hint="eastAsia" w:ascii="仿宋" w:hAnsi="仿宋" w:eastAsia="仿宋" w:cs="仿宋"/>
          <w:color w:val="auto"/>
          <w:sz w:val="24"/>
          <w:szCs w:val="24"/>
          <w:lang w:val="en-US" w:eastAsia="zh-CN"/>
        </w:rPr>
        <w:t>。废气排放分别满足《电镀污染物排放标准》(GB21900-2008)、《大气污染物综合排放标准》（GB16297-1996）、《河南省重污染天气重点行业应急减排措施制定技术指南（2021 年修订版）》、《工业涂装工序挥发性有机物排放标准》（DB41/1951-2020）、《关于全省开展工业企业挥发性有机物专项治理工作中排放建议值的通知》（ 豫环攻坚办〔2017〕162号）及《餐饮业油烟污染物排放标准》（DB41/1604-2018）等标准限值要求。</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default" w:ascii="仿宋" w:hAnsi="仿宋" w:eastAsia="仿宋" w:cs="仿宋"/>
          <w:color w:val="auto"/>
          <w:sz w:val="24"/>
          <w:szCs w:val="24"/>
          <w:lang w:val="en-US" w:eastAsia="zh-CN"/>
        </w:rPr>
      </w:pPr>
      <w:r>
        <w:rPr>
          <w:rFonts w:hint="default" w:ascii="仿宋" w:hAnsi="仿宋" w:eastAsia="仿宋" w:cs="仿宋"/>
          <w:color w:val="auto"/>
          <w:sz w:val="24"/>
          <w:szCs w:val="24"/>
          <w:lang w:val="en-US" w:eastAsia="zh-CN"/>
        </w:rPr>
        <w:t>3、噪声：</w:t>
      </w:r>
      <w:r>
        <w:rPr>
          <w:rFonts w:hint="eastAsia" w:ascii="仿宋" w:hAnsi="仿宋" w:eastAsia="仿宋" w:cs="仿宋"/>
          <w:color w:val="auto"/>
          <w:sz w:val="24"/>
          <w:szCs w:val="24"/>
          <w:lang w:val="en-US" w:eastAsia="zh-CN"/>
        </w:rPr>
        <w:t>选用低噪音设备，</w:t>
      </w:r>
      <w:r>
        <w:rPr>
          <w:rFonts w:hint="default" w:ascii="仿宋" w:hAnsi="仿宋" w:eastAsia="仿宋" w:cs="仿宋"/>
          <w:color w:val="auto"/>
          <w:sz w:val="24"/>
          <w:szCs w:val="24"/>
          <w:lang w:val="en-US" w:eastAsia="zh-CN"/>
        </w:rPr>
        <w:t>采取减振、隔声、</w:t>
      </w:r>
      <w:r>
        <w:rPr>
          <w:rFonts w:hint="eastAsia" w:ascii="仿宋" w:hAnsi="仿宋" w:eastAsia="仿宋" w:cs="仿宋"/>
          <w:color w:val="auto"/>
          <w:sz w:val="24"/>
          <w:szCs w:val="24"/>
          <w:lang w:val="en-US" w:eastAsia="zh-CN"/>
        </w:rPr>
        <w:t>设置</w:t>
      </w:r>
      <w:r>
        <w:rPr>
          <w:rFonts w:hint="default" w:ascii="仿宋" w:hAnsi="仿宋" w:eastAsia="仿宋" w:cs="仿宋"/>
          <w:color w:val="auto"/>
          <w:sz w:val="24"/>
          <w:szCs w:val="24"/>
          <w:lang w:val="en-US" w:eastAsia="zh-CN"/>
        </w:rPr>
        <w:t>软连接、合理布局等措施，厂界噪声满足《工业企业厂界环境噪声排放标准》（GB12348-2008）3类标准要求。</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default" w:ascii="仿宋" w:hAnsi="仿宋" w:eastAsia="仿宋" w:cs="仿宋"/>
          <w:color w:val="auto"/>
          <w:sz w:val="24"/>
          <w:szCs w:val="24"/>
          <w:lang w:val="en-US" w:eastAsia="zh-CN"/>
        </w:rPr>
      </w:pPr>
      <w:r>
        <w:rPr>
          <w:rFonts w:hint="default" w:ascii="仿宋" w:hAnsi="仿宋" w:eastAsia="仿宋" w:cs="仿宋"/>
          <w:color w:val="auto"/>
          <w:sz w:val="24"/>
          <w:szCs w:val="24"/>
          <w:lang w:val="en-US" w:eastAsia="zh-CN"/>
        </w:rPr>
        <w:t>4、固废：</w:t>
      </w:r>
      <w:r>
        <w:rPr>
          <w:rFonts w:hint="eastAsia" w:ascii="仿宋" w:hAnsi="仿宋" w:eastAsia="仿宋" w:cs="仿宋"/>
          <w:color w:val="auto"/>
          <w:sz w:val="24"/>
          <w:szCs w:val="24"/>
          <w:lang w:val="en-US" w:eastAsia="zh-CN"/>
        </w:rPr>
        <w:t>（1）</w:t>
      </w:r>
      <w:r>
        <w:rPr>
          <w:rFonts w:hint="default" w:ascii="仿宋" w:hAnsi="仿宋" w:eastAsia="仿宋" w:cs="仿宋"/>
          <w:color w:val="auto"/>
          <w:sz w:val="24"/>
          <w:szCs w:val="24"/>
          <w:lang w:val="en-US" w:eastAsia="zh-CN"/>
        </w:rPr>
        <w:t>一般废物暂存，定期外售综合利用</w:t>
      </w:r>
      <w:r>
        <w:rPr>
          <w:rFonts w:hint="eastAsia" w:ascii="仿宋" w:hAnsi="仿宋" w:eastAsia="仿宋" w:cs="仿宋"/>
          <w:color w:val="auto"/>
          <w:sz w:val="24"/>
          <w:szCs w:val="24"/>
          <w:lang w:val="en-US" w:eastAsia="zh-CN"/>
        </w:rPr>
        <w:t>，满足《一般工业固体废物贮存和填埋污染控制标准》（GB18599-2020）要求；（2）</w:t>
      </w:r>
      <w:r>
        <w:rPr>
          <w:rFonts w:hint="default" w:ascii="仿宋" w:hAnsi="仿宋" w:eastAsia="仿宋" w:cs="仿宋"/>
          <w:color w:val="auto"/>
          <w:sz w:val="24"/>
          <w:szCs w:val="24"/>
          <w:lang w:val="en-US" w:eastAsia="zh-CN"/>
        </w:rPr>
        <w:t>危险废物危废</w:t>
      </w:r>
      <w:r>
        <w:rPr>
          <w:rFonts w:hint="eastAsia" w:ascii="仿宋" w:hAnsi="仿宋" w:eastAsia="仿宋" w:cs="仿宋"/>
          <w:color w:val="auto"/>
          <w:sz w:val="24"/>
          <w:szCs w:val="24"/>
          <w:lang w:val="en-US" w:eastAsia="zh-CN"/>
        </w:rPr>
        <w:t>间</w:t>
      </w:r>
      <w:r>
        <w:rPr>
          <w:rFonts w:hint="default" w:ascii="仿宋" w:hAnsi="仿宋" w:eastAsia="仿宋" w:cs="仿宋"/>
          <w:color w:val="auto"/>
          <w:sz w:val="24"/>
          <w:szCs w:val="24"/>
          <w:lang w:val="en-US" w:eastAsia="zh-CN"/>
        </w:rPr>
        <w:t>暂存</w:t>
      </w:r>
      <w:r>
        <w:rPr>
          <w:rFonts w:hint="eastAsia" w:ascii="仿宋" w:hAnsi="仿宋" w:eastAsia="仿宋" w:cs="仿宋"/>
          <w:color w:val="auto"/>
          <w:sz w:val="24"/>
          <w:szCs w:val="24"/>
          <w:lang w:val="en-US" w:eastAsia="zh-CN"/>
        </w:rPr>
        <w:t>，</w:t>
      </w:r>
      <w:r>
        <w:rPr>
          <w:rFonts w:hint="default" w:ascii="仿宋" w:hAnsi="仿宋" w:eastAsia="仿宋" w:cs="仿宋"/>
          <w:color w:val="auto"/>
          <w:sz w:val="24"/>
          <w:szCs w:val="24"/>
          <w:lang w:val="en-US" w:eastAsia="zh-CN"/>
        </w:rPr>
        <w:t>定期交有资质单位处置</w:t>
      </w:r>
      <w:r>
        <w:rPr>
          <w:rFonts w:hint="eastAsia" w:ascii="仿宋" w:hAnsi="仿宋" w:eastAsia="仿宋" w:cs="仿宋"/>
          <w:color w:val="auto"/>
          <w:sz w:val="24"/>
          <w:szCs w:val="24"/>
          <w:lang w:val="en-US" w:eastAsia="zh-CN"/>
        </w:rPr>
        <w:t>，满足《危险废物贮存污染控制标准》（</w:t>
      </w:r>
      <w:r>
        <w:rPr>
          <w:rFonts w:hint="default" w:ascii="仿宋" w:hAnsi="仿宋" w:eastAsia="仿宋" w:cs="仿宋"/>
          <w:color w:val="auto"/>
          <w:sz w:val="24"/>
          <w:szCs w:val="24"/>
          <w:lang w:val="en-US" w:eastAsia="zh-CN"/>
        </w:rPr>
        <w:t>GB18597-2023</w:t>
      </w:r>
      <w:r>
        <w:rPr>
          <w:rFonts w:hint="eastAsia" w:ascii="仿宋" w:hAnsi="仿宋" w:eastAsia="仿宋" w:cs="仿宋"/>
          <w:color w:val="auto"/>
          <w:sz w:val="24"/>
          <w:szCs w:val="24"/>
          <w:lang w:val="en-US" w:eastAsia="zh-CN"/>
        </w:rPr>
        <w:t>）要求；（3）</w:t>
      </w:r>
      <w:r>
        <w:rPr>
          <w:rFonts w:hint="default" w:ascii="仿宋" w:hAnsi="仿宋" w:eastAsia="仿宋" w:cs="仿宋"/>
          <w:color w:val="auto"/>
          <w:sz w:val="24"/>
          <w:szCs w:val="24"/>
          <w:lang w:val="en-US" w:eastAsia="zh-CN"/>
        </w:rPr>
        <w:t>生活垃圾交由环卫部门处置</w:t>
      </w:r>
      <w:r>
        <w:rPr>
          <w:rFonts w:hint="eastAsia" w:ascii="仿宋" w:hAnsi="仿宋" w:eastAsia="仿宋" w:cs="仿宋"/>
          <w:color w:val="auto"/>
          <w:sz w:val="24"/>
          <w:szCs w:val="24"/>
          <w:lang w:val="en-US" w:eastAsia="zh-CN"/>
        </w:rPr>
        <w:t>。</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（四）本项目建设后，主要污染物排放量满足本项目主要污染物总量指标备案表控制指标要求。</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（五）如果今后国家或者我省颁布污染物排放限值的新标准，届时你公司应按新的排放标准执行。</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四、项目建成后，按相关规定及时进行项目竣工环境保护验收。项目建设及运行过程中，由民权县生态环境分局负责项目的日常环境管理工作。</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五、本项目自批复起5年内逾期未开工建设，其环境影响报告表应报我局重新审核。项目的性质、规模、地点、采用的生产工艺或防治污染、防止生态破坏的措施发生重大变动的，应当重新报批项目的环境影响评价文件。按照《建设项目环境影响后评价管理办法（试行）》，项目正式投入生产或者运营后3年-5年内开展建设项目环境影响后评价工作。</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六、对此批复若存有异议，可自该文下达之日起60日内向河南省环保厅、商丘市生态环境局或民权县人民政府申请复议，逾期复议无效。</w:t>
      </w:r>
    </w:p>
    <w:p>
      <w:pPr>
        <w:keepNext w:val="0"/>
        <w:keepLines w:val="0"/>
        <w:pageBreakBefore w:val="0"/>
        <w:widowControl w:val="0"/>
        <w:kinsoku/>
        <w:wordWrap/>
        <w:overflowPunct/>
        <w:topLinePunct w:val="0"/>
        <w:autoSpaceDE/>
        <w:autoSpaceDN/>
        <w:bidi w:val="0"/>
        <w:adjustRightInd w:val="0"/>
        <w:snapToGrid w:val="0"/>
        <w:spacing w:line="420" w:lineRule="exact"/>
        <w:ind w:firstLine="480" w:firstLineChars="200"/>
        <w:textAlignment w:val="auto"/>
        <w:rPr>
          <w:rFonts w:hint="eastAsia" w:ascii="仿宋" w:hAnsi="仿宋" w:eastAsia="仿宋" w:cs="仿宋"/>
          <w:color w:val="auto"/>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420" w:lineRule="exact"/>
        <w:ind w:firstLine="7200" w:firstLineChars="3000"/>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盖章</w:t>
      </w:r>
    </w:p>
    <w:p>
      <w:pPr>
        <w:keepNext w:val="0"/>
        <w:keepLines w:val="0"/>
        <w:pageBreakBefore w:val="0"/>
        <w:widowControl w:val="0"/>
        <w:kinsoku/>
        <w:wordWrap/>
        <w:overflowPunct/>
        <w:topLinePunct w:val="0"/>
        <w:autoSpaceDE/>
        <w:autoSpaceDN/>
        <w:bidi w:val="0"/>
        <w:adjustRightInd w:val="0"/>
        <w:snapToGrid w:val="0"/>
        <w:spacing w:line="420" w:lineRule="exact"/>
        <w:ind w:firstLine="6480" w:firstLineChars="2700"/>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2023年11月24日</w:t>
      </w:r>
    </w:p>
    <w:sectPr>
      <w:pgSz w:w="11906" w:h="16838"/>
      <w:pgMar w:top="1588" w:right="1474" w:bottom="1361"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0D"/>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jI0M2I4N2QxOWFjMzU3YmQ3Yjc1YzZlMDQ2ZjBjNDAifQ=="/>
  </w:docVars>
  <w:rsids>
    <w:rsidRoot w:val="02F72450"/>
    <w:rsid w:val="00000196"/>
    <w:rsid w:val="00002FE5"/>
    <w:rsid w:val="000826E0"/>
    <w:rsid w:val="0009411E"/>
    <w:rsid w:val="000C7936"/>
    <w:rsid w:val="000D0072"/>
    <w:rsid w:val="000D6213"/>
    <w:rsid w:val="000E2394"/>
    <w:rsid w:val="00114960"/>
    <w:rsid w:val="00137DE5"/>
    <w:rsid w:val="00172393"/>
    <w:rsid w:val="00175A80"/>
    <w:rsid w:val="001E5474"/>
    <w:rsid w:val="002035E9"/>
    <w:rsid w:val="0023520D"/>
    <w:rsid w:val="002A404E"/>
    <w:rsid w:val="002B13AB"/>
    <w:rsid w:val="002F1077"/>
    <w:rsid w:val="003014B1"/>
    <w:rsid w:val="003955E9"/>
    <w:rsid w:val="003E3E4B"/>
    <w:rsid w:val="003E3E90"/>
    <w:rsid w:val="00425F79"/>
    <w:rsid w:val="00465F79"/>
    <w:rsid w:val="004824B1"/>
    <w:rsid w:val="00483ED3"/>
    <w:rsid w:val="004E7FCF"/>
    <w:rsid w:val="004F7F1C"/>
    <w:rsid w:val="0052539C"/>
    <w:rsid w:val="00575373"/>
    <w:rsid w:val="006177C6"/>
    <w:rsid w:val="0064136E"/>
    <w:rsid w:val="00653A8C"/>
    <w:rsid w:val="006B2190"/>
    <w:rsid w:val="006E5D8B"/>
    <w:rsid w:val="00702B2D"/>
    <w:rsid w:val="00716C75"/>
    <w:rsid w:val="007510DD"/>
    <w:rsid w:val="00752A3F"/>
    <w:rsid w:val="00773AA5"/>
    <w:rsid w:val="00777949"/>
    <w:rsid w:val="00785EC0"/>
    <w:rsid w:val="007A1B2D"/>
    <w:rsid w:val="007E11E7"/>
    <w:rsid w:val="0083127E"/>
    <w:rsid w:val="00871CC8"/>
    <w:rsid w:val="008B1FCE"/>
    <w:rsid w:val="008F5F29"/>
    <w:rsid w:val="00924F32"/>
    <w:rsid w:val="009A3A33"/>
    <w:rsid w:val="009B0E83"/>
    <w:rsid w:val="009B61EC"/>
    <w:rsid w:val="009C456F"/>
    <w:rsid w:val="00A42BDD"/>
    <w:rsid w:val="00A6136A"/>
    <w:rsid w:val="00A83DFF"/>
    <w:rsid w:val="00A8688A"/>
    <w:rsid w:val="00A93E01"/>
    <w:rsid w:val="00AC211F"/>
    <w:rsid w:val="00B71152"/>
    <w:rsid w:val="00B80571"/>
    <w:rsid w:val="00B82A97"/>
    <w:rsid w:val="00B95A86"/>
    <w:rsid w:val="00C00B05"/>
    <w:rsid w:val="00C33CD7"/>
    <w:rsid w:val="00C60A64"/>
    <w:rsid w:val="00CE5BB2"/>
    <w:rsid w:val="00D277F4"/>
    <w:rsid w:val="00D476BE"/>
    <w:rsid w:val="00D83101"/>
    <w:rsid w:val="00DC090E"/>
    <w:rsid w:val="00DC4F51"/>
    <w:rsid w:val="00DE75C1"/>
    <w:rsid w:val="00DF3F1F"/>
    <w:rsid w:val="00DF5060"/>
    <w:rsid w:val="00E02BC4"/>
    <w:rsid w:val="00E50552"/>
    <w:rsid w:val="00E75163"/>
    <w:rsid w:val="02623E47"/>
    <w:rsid w:val="02F72450"/>
    <w:rsid w:val="03E20FE8"/>
    <w:rsid w:val="06600C79"/>
    <w:rsid w:val="0CE27C81"/>
    <w:rsid w:val="110F2611"/>
    <w:rsid w:val="114105BA"/>
    <w:rsid w:val="1259182D"/>
    <w:rsid w:val="139C5DE5"/>
    <w:rsid w:val="13AA5959"/>
    <w:rsid w:val="17AD283D"/>
    <w:rsid w:val="18AE1921"/>
    <w:rsid w:val="1B7C72FE"/>
    <w:rsid w:val="1C5B6EBF"/>
    <w:rsid w:val="1D8D5DE6"/>
    <w:rsid w:val="207577C6"/>
    <w:rsid w:val="21800591"/>
    <w:rsid w:val="28D41056"/>
    <w:rsid w:val="2FA109D3"/>
    <w:rsid w:val="2FB44497"/>
    <w:rsid w:val="32353CB4"/>
    <w:rsid w:val="33340901"/>
    <w:rsid w:val="35E30B2B"/>
    <w:rsid w:val="3DA03245"/>
    <w:rsid w:val="405F0B00"/>
    <w:rsid w:val="43D57B05"/>
    <w:rsid w:val="43EC32A0"/>
    <w:rsid w:val="444306B4"/>
    <w:rsid w:val="4A5410B7"/>
    <w:rsid w:val="4F162A51"/>
    <w:rsid w:val="529F0E6D"/>
    <w:rsid w:val="57690E03"/>
    <w:rsid w:val="5C140599"/>
    <w:rsid w:val="5DB942D2"/>
    <w:rsid w:val="5E0314BA"/>
    <w:rsid w:val="5E217EA4"/>
    <w:rsid w:val="620F0E3C"/>
    <w:rsid w:val="63C17BCC"/>
    <w:rsid w:val="64F04C11"/>
    <w:rsid w:val="659F6DDA"/>
    <w:rsid w:val="66E56D11"/>
    <w:rsid w:val="6A6A2F53"/>
    <w:rsid w:val="6AA64C8B"/>
    <w:rsid w:val="6E9A4004"/>
    <w:rsid w:val="6F8D73B1"/>
    <w:rsid w:val="728B1C11"/>
    <w:rsid w:val="779A05D2"/>
    <w:rsid w:val="79AB28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tabs>
        <w:tab w:val="left" w:pos="1230"/>
      </w:tabs>
      <w:spacing w:before="240" w:after="120"/>
      <w:ind w:left="1230" w:hanging="1230"/>
      <w:jc w:val="center"/>
      <w:outlineLvl w:val="0"/>
    </w:pPr>
    <w:rPr>
      <w:rFonts w:eastAsia="黑体"/>
      <w:b/>
      <w:bCs/>
      <w:kern w:val="44"/>
      <w:sz w:val="42"/>
    </w:rPr>
  </w:style>
  <w:style w:type="character" w:default="1" w:styleId="10">
    <w:name w:val="Default Paragraph Font"/>
    <w:semiHidden/>
    <w:unhideWhenUsed/>
    <w:qFormat/>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ascii="Calibri" w:hAnsi="Calibri" w:eastAsia="宋体" w:cs="Times New Roman"/>
      <w:kern w:val="2"/>
      <w:sz w:val="21"/>
      <w:szCs w:val="22"/>
    </w:rPr>
    <w:tblPr>
      <w:tblCellMar>
        <w:top w:w="0" w:type="dxa"/>
        <w:left w:w="108" w:type="dxa"/>
        <w:bottom w:w="0" w:type="dxa"/>
        <w:right w:w="108" w:type="dxa"/>
      </w:tblCellMar>
    </w:tblPr>
  </w:style>
  <w:style w:type="paragraph" w:styleId="3">
    <w:name w:val="Body Text Indent"/>
    <w:basedOn w:val="1"/>
    <w:unhideWhenUsed/>
    <w:qFormat/>
    <w:uiPriority w:val="99"/>
    <w:pPr>
      <w:spacing w:after="120"/>
      <w:ind w:left="420" w:leftChars="200"/>
    </w:pPr>
    <w:rPr>
      <w:kern w:val="0"/>
      <w:sz w:val="24"/>
      <w:szCs w:val="20"/>
    </w:rPr>
  </w:style>
  <w:style w:type="paragraph" w:styleId="4">
    <w:name w:val="Block Text"/>
    <w:basedOn w:val="1"/>
    <w:next w:val="1"/>
    <w:qFormat/>
    <w:uiPriority w:val="0"/>
    <w:pPr>
      <w:snapToGrid w:val="0"/>
      <w:spacing w:before="100" w:beforeAutospacing="1" w:after="100" w:afterAutospacing="1" w:line="408" w:lineRule="auto"/>
      <w:ind w:left="-113" w:right="-510" w:firstLine="510"/>
    </w:p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3"/>
    <w:next w:val="1"/>
    <w:unhideWhenUsed/>
    <w:qFormat/>
    <w:uiPriority w:val="0"/>
    <w:pPr>
      <w:spacing w:after="120"/>
      <w:ind w:left="420" w:leftChars="200" w:firstLine="420"/>
    </w:p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1">
    <w:name w:val="Default"/>
    <w:qFormat/>
    <w:uiPriority w:val="0"/>
    <w:pPr>
      <w:widowControl w:val="0"/>
      <w:autoSpaceDE w:val="0"/>
      <w:autoSpaceDN w:val="0"/>
      <w:adjustRightInd/>
      <w:spacing w:line="500" w:lineRule="exact"/>
    </w:pPr>
    <w:rPr>
      <w:rFonts w:ascii="宋体" w:hAnsi="宋体" w:eastAsia="宋体" w:cs="宋体"/>
      <w:color w:val="000000"/>
      <w:sz w:val="24"/>
      <w:szCs w:val="24"/>
      <w:lang w:val="en-US" w:eastAsia="zh-CN" w:bidi="ar-SA"/>
    </w:rPr>
  </w:style>
  <w:style w:type="character" w:customStyle="1" w:styleId="12">
    <w:name w:val="页眉 Char"/>
    <w:basedOn w:val="10"/>
    <w:link w:val="6"/>
    <w:qFormat/>
    <w:uiPriority w:val="0"/>
    <w:rPr>
      <w:kern w:val="2"/>
      <w:sz w:val="18"/>
      <w:szCs w:val="18"/>
    </w:rPr>
  </w:style>
  <w:style w:type="character" w:customStyle="1" w:styleId="13">
    <w:name w:val="页脚 Char"/>
    <w:basedOn w:val="10"/>
    <w:link w:val="5"/>
    <w:qFormat/>
    <w:uiPriority w:val="0"/>
    <w:rPr>
      <w:kern w:val="2"/>
      <w:sz w:val="18"/>
      <w:szCs w:val="18"/>
    </w:rPr>
  </w:style>
  <w:style w:type="paragraph" w:styleId="14">
    <w:name w:val="List Paragraph"/>
    <w:basedOn w:val="1"/>
    <w:qFormat/>
    <w:uiPriority w:val="34"/>
    <w:pPr>
      <w:adjustRightInd w:val="0"/>
      <w:snapToGrid w:val="0"/>
      <w:spacing w:line="360" w:lineRule="auto"/>
      <w:ind w:firstLine="420" w:firstLineChars="200"/>
    </w:pPr>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Pages>
  <Words>1673</Words>
  <Characters>1727</Characters>
  <Lines>10</Lines>
  <Paragraphs>3</Paragraphs>
  <TotalTime>9</TotalTime>
  <ScaleCrop>false</ScaleCrop>
  <LinksUpToDate>false</LinksUpToDate>
  <CharactersWithSpaces>1728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2019-01-21T06:33:00Z</dcterms:created>
  <dc:creator>qiaqia</dc:creator>
  <cp:lastModifiedBy>苍海（杜家坤）</cp:lastModifiedBy>
  <dcterms:modified xsi:type="dcterms:W3CDTF">2023-11-24T01:47:21Z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6735EAC412F14E7D81219C33FB137E5D</vt:lpwstr>
  </property>
</Properties>
</file>