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全县仓储行业消防安全隐患专项排查整治工作台帐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各乡镇、街道，各部门：                                         统计时间：      年     月    日</w:t>
      </w:r>
    </w:p>
    <w:tbl>
      <w:tblPr>
        <w:tblStyle w:val="5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716"/>
        <w:gridCol w:w="1644"/>
        <w:gridCol w:w="1688"/>
        <w:gridCol w:w="1197"/>
        <w:gridCol w:w="1181"/>
        <w:gridCol w:w="2270"/>
        <w:gridCol w:w="1286"/>
        <w:gridCol w:w="1375"/>
        <w:gridCol w:w="170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单位法人或负责人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储存物品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主要隐患问题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整改责任人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督促整改责任单位及人员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63" w:type="dxa"/>
            <w:vMerge w:val="restart"/>
            <w:noWrap w:val="0"/>
            <w:vAlign w:val="top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xx部门，</w:t>
            </w:r>
          </w:p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xx乡镇或xx街道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审核人：                             填报人：                          联系电话：</w:t>
      </w:r>
    </w:p>
    <w:p>
      <w:pPr>
        <w:spacing w:before="113" w:line="239" w:lineRule="auto"/>
        <w:rPr>
          <w:rFonts w:hint="eastAsia" w:ascii="仿宋" w:hAnsi="仿宋" w:eastAsia="仿宋" w:cs="仿宋"/>
          <w:spacing w:val="-5"/>
          <w:sz w:val="32"/>
          <w:szCs w:val="32"/>
        </w:rPr>
        <w:sectPr>
          <w:footerReference r:id="rId3" w:type="default"/>
          <w:pgSz w:w="16838" w:h="11906" w:orient="landscape"/>
          <w:pgMar w:top="1531" w:right="2098" w:bottom="1531" w:left="1531" w:header="851" w:footer="992" w:gutter="0"/>
          <w:pgNumType w:fmt="numberInDash"/>
          <w:cols w:space="720" w:num="1"/>
          <w:docGrid w:linePitch="581" w:charSpace="0"/>
        </w:sectPr>
      </w:pPr>
    </w:p>
    <w:p>
      <w:pPr>
        <w:spacing w:before="113" w:line="239" w:lineRule="auto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全县仓储行业消防安全隐患专项排查整治工作台帐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eastAsia" w:ascii="仿宋" w:hAnsi="仿宋" w:eastAsia="仿宋" w:cs="仿宋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各乡镇、街道，各部门：                                           统计时间：      年     月    日</w:t>
      </w:r>
    </w:p>
    <w:tbl>
      <w:tblPr>
        <w:tblStyle w:val="8"/>
        <w:tblW w:w="144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815"/>
        <w:gridCol w:w="815"/>
        <w:gridCol w:w="814"/>
        <w:gridCol w:w="950"/>
        <w:gridCol w:w="959"/>
        <w:gridCol w:w="876"/>
        <w:gridCol w:w="1003"/>
        <w:gridCol w:w="1078"/>
        <w:gridCol w:w="936"/>
        <w:gridCol w:w="936"/>
        <w:gridCol w:w="841"/>
        <w:gridCol w:w="825"/>
        <w:gridCol w:w="477"/>
        <w:gridCol w:w="525"/>
        <w:gridCol w:w="501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16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13" w:line="239" w:lineRule="auto"/>
              <w:jc w:val="both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xx部门，</w:t>
            </w:r>
          </w:p>
          <w:p>
            <w:pPr>
              <w:spacing w:before="88" w:line="233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xx乡镇或xx街道</w:t>
            </w:r>
          </w:p>
        </w:tc>
        <w:tc>
          <w:tcPr>
            <w:tcW w:w="5229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10" w:line="233" w:lineRule="auto"/>
              <w:ind w:left="26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检查单位数（个）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63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263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264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80" w:line="282" w:lineRule="auto"/>
              <w:ind w:left="111" w:right="4" w:firstLine="6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棉花制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19"/>
                <w:sz w:val="22"/>
                <w:szCs w:val="22"/>
              </w:rPr>
              <w:t>品储存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19"/>
                <w:sz w:val="22"/>
                <w:szCs w:val="22"/>
              </w:rPr>
              <w:t>转运场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所（个）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46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247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247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247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81" w:line="277" w:lineRule="auto"/>
              <w:ind w:right="76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成品油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30"/>
                <w:sz w:val="22"/>
                <w:szCs w:val="22"/>
              </w:rPr>
              <w:t>仓储油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库（个）</w:t>
            </w:r>
          </w:p>
        </w:tc>
        <w:tc>
          <w:tcPr>
            <w:tcW w:w="936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87" w:line="25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发现隐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9"/>
                <w:sz w:val="24"/>
                <w:szCs w:val="24"/>
              </w:rPr>
              <w:t>患（处）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87" w:line="25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整改隐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9"/>
                <w:sz w:val="24"/>
                <w:szCs w:val="24"/>
              </w:rPr>
              <w:t>患（处）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87" w:line="253" w:lineRule="auto"/>
              <w:ind w:right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查封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（家）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before="87" w:line="25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关停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（家）</w:t>
            </w:r>
          </w:p>
        </w:tc>
        <w:tc>
          <w:tcPr>
            <w:tcW w:w="1503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9"/>
              <w:spacing w:line="39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88" w:line="232" w:lineRule="auto"/>
              <w:ind w:left="28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约谈情况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9"/>
              <w:spacing w:line="299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spacing w:line="30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88" w:line="253" w:lineRule="auto"/>
              <w:ind w:left="123" w:firstLine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培训员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>工（人）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444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314" w:line="253" w:lineRule="auto"/>
              <w:ind w:left="281" w:right="262" w:hanging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供销、粮食、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邮政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系统直属仓储场所</w:t>
            </w:r>
          </w:p>
        </w:tc>
        <w:tc>
          <w:tcPr>
            <w:tcW w:w="1909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317" w:line="253" w:lineRule="auto"/>
              <w:ind w:left="359" w:right="234" w:hanging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物流（含冷链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物流）企业</w:t>
            </w:r>
          </w:p>
        </w:tc>
        <w:tc>
          <w:tcPr>
            <w:tcW w:w="876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54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80" w:line="282" w:lineRule="auto"/>
              <w:ind w:left="96" w:right="95" w:firstLine="14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原粮储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存转运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w w:val="121"/>
                <w:sz w:val="22"/>
                <w:szCs w:val="22"/>
              </w:rPr>
              <w:t>场所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（个）</w:t>
            </w: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50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444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477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56" w:line="208" w:lineRule="auto"/>
              <w:ind w:left="4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企</w:t>
            </w:r>
            <w:r>
              <w:rPr>
                <w:rFonts w:hint="eastAsia" w:ascii="仿宋" w:hAnsi="仿宋" w:eastAsia="仿宋" w:cs="仿宋"/>
                <w:spacing w:val="31"/>
                <w:w w:val="10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21" w:line="205" w:lineRule="auto"/>
              <w:ind w:left="4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9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spacing w:val="64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9"/>
                <w:sz w:val="24"/>
                <w:szCs w:val="24"/>
              </w:rPr>
              <w:t>府</w:t>
            </w:r>
          </w:p>
        </w:tc>
        <w:tc>
          <w:tcPr>
            <w:tcW w:w="501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95" w:line="201" w:lineRule="auto"/>
              <w:ind w:left="4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9"/>
                <w:sz w:val="24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spacing w:val="64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9"/>
                <w:sz w:val="24"/>
                <w:szCs w:val="24"/>
              </w:rPr>
              <w:t>门</w:t>
            </w: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16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before="143" w:line="401" w:lineRule="exact"/>
              <w:ind w:left="205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position w:val="14"/>
                <w:sz w:val="19"/>
                <w:szCs w:val="19"/>
              </w:rPr>
              <w:t>供销</w:t>
            </w:r>
          </w:p>
          <w:p>
            <w:pPr>
              <w:spacing w:line="215" w:lineRule="auto"/>
              <w:ind w:left="98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12"/>
                <w:sz w:val="19"/>
                <w:szCs w:val="19"/>
              </w:rPr>
              <w:t>（个）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spacing w:before="143" w:line="401" w:lineRule="exact"/>
              <w:ind w:left="210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5"/>
                <w:position w:val="14"/>
                <w:sz w:val="19"/>
                <w:szCs w:val="19"/>
              </w:rPr>
              <w:t>粮食</w:t>
            </w:r>
          </w:p>
          <w:p>
            <w:pPr>
              <w:spacing w:line="215" w:lineRule="auto"/>
              <w:ind w:left="99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12"/>
                <w:sz w:val="19"/>
                <w:szCs w:val="19"/>
              </w:rPr>
              <w:t>（个）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spacing w:before="143" w:line="401" w:lineRule="exact"/>
              <w:ind w:left="222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1"/>
                <w:position w:val="14"/>
                <w:sz w:val="19"/>
                <w:szCs w:val="19"/>
              </w:rPr>
              <w:t>邮政</w:t>
            </w:r>
          </w:p>
          <w:p>
            <w:pPr>
              <w:spacing w:line="215" w:lineRule="auto"/>
              <w:ind w:left="97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12"/>
                <w:sz w:val="19"/>
                <w:szCs w:val="19"/>
              </w:rPr>
              <w:t>（个）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before="143" w:line="401" w:lineRule="exact"/>
              <w:ind w:left="176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position w:val="14"/>
                <w:sz w:val="19"/>
                <w:szCs w:val="19"/>
              </w:rPr>
              <w:t>企业数</w:t>
            </w:r>
          </w:p>
          <w:p>
            <w:pPr>
              <w:spacing w:line="215" w:lineRule="auto"/>
              <w:ind w:left="114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量（家）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143" w:line="401" w:lineRule="exact"/>
              <w:ind w:left="182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position w:val="14"/>
                <w:sz w:val="19"/>
                <w:szCs w:val="19"/>
              </w:rPr>
              <w:t>仓库数</w:t>
            </w:r>
          </w:p>
          <w:p>
            <w:pPr>
              <w:spacing w:line="215" w:lineRule="auto"/>
              <w:ind w:left="114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量（个）</w:t>
            </w:r>
          </w:p>
        </w:tc>
        <w:tc>
          <w:tcPr>
            <w:tcW w:w="876" w:type="dxa"/>
            <w:vMerge w:val="continue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477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6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0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16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0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6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0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6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50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审核人：                             填报人：                          联系电话：</w:t>
      </w:r>
    </w:p>
    <w:p>
      <w:pPr>
        <w:spacing w:before="113" w:line="239" w:lineRule="auto"/>
        <w:ind w:left="65"/>
        <w:rPr>
          <w:rFonts w:hint="eastAsia" w:ascii="仿宋" w:hAnsi="仿宋" w:eastAsia="仿宋" w:cs="仿宋"/>
          <w:spacing w:val="-5"/>
          <w:sz w:val="32"/>
          <w:szCs w:val="32"/>
        </w:rPr>
        <w:sectPr>
          <w:footerReference r:id="rId4" w:type="default"/>
          <w:pgSz w:w="16838" w:h="11906" w:orient="landscape"/>
          <w:pgMar w:top="1531" w:right="2098" w:bottom="1531" w:left="1531" w:header="851" w:footer="992" w:gutter="0"/>
          <w:pgNumType w:fmt="numberInDash"/>
          <w:cols w:space="720" w:num="1"/>
          <w:docGrid w:linePitch="581" w:charSpace="0"/>
        </w:sectPr>
      </w:pPr>
    </w:p>
    <w:p>
      <w:pPr>
        <w:spacing w:before="113" w:line="239" w:lineRule="auto"/>
        <w:rPr>
          <w:rFonts w:hint="default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5"/>
          <w:sz w:val="32"/>
          <w:szCs w:val="32"/>
        </w:rPr>
        <w:t>附件</w:t>
      </w:r>
      <w:r>
        <w:rPr>
          <w:rFonts w:hint="default" w:ascii="仿宋" w:hAnsi="仿宋" w:eastAsia="仿宋" w:cs="仿宋"/>
          <w:spacing w:val="-5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各部门仓储行业消防安全隐患专项排查整治情况统计表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center"/>
        <w:textAlignment w:val="auto"/>
        <w:rPr>
          <w:rFonts w:hint="eastAsia" w:ascii="仿宋" w:hAnsi="仿宋" w:eastAsia="仿宋" w:cs="仿宋"/>
          <w:kern w:val="2"/>
          <w:sz w:val="44"/>
          <w:szCs w:val="44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="847" w:tblpY="660"/>
        <w:tblOverlap w:val="never"/>
        <w:tblW w:w="150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2559"/>
        <w:gridCol w:w="2942"/>
        <w:gridCol w:w="1317"/>
        <w:gridCol w:w="1183"/>
        <w:gridCol w:w="1161"/>
        <w:gridCol w:w="1135"/>
        <w:gridCol w:w="1320"/>
        <w:gridCol w:w="1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3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9"/>
              <w:spacing w:line="448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88" w:line="233" w:lineRule="auto"/>
              <w:ind w:left="1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部门名称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9"/>
              <w:spacing w:line="387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88" w:line="233" w:lineRule="auto"/>
              <w:ind w:left="3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检查仓库数（个）</w:t>
            </w:r>
          </w:p>
        </w:tc>
        <w:tc>
          <w:tcPr>
            <w:tcW w:w="294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9"/>
              <w:spacing w:line="387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88" w:line="235" w:lineRule="auto"/>
              <w:ind w:left="6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发现隐患（处）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77" w:line="254" w:lineRule="auto"/>
              <w:ind w:left="289" w:right="176" w:hanging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整改隐患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（处）</w:t>
            </w:r>
          </w:p>
        </w:tc>
        <w:tc>
          <w:tcPr>
            <w:tcW w:w="11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9"/>
              <w:spacing w:line="388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87" w:line="234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  <w:t>查封（家）</w:t>
            </w:r>
          </w:p>
        </w:tc>
        <w:tc>
          <w:tcPr>
            <w:tcW w:w="116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77" w:line="254" w:lineRule="auto"/>
              <w:ind w:left="211" w:right="213" w:firstLine="1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关停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（家）</w:t>
            </w:r>
          </w:p>
        </w:tc>
        <w:tc>
          <w:tcPr>
            <w:tcW w:w="2455" w:type="dxa"/>
            <w:gridSpan w:val="2"/>
            <w:noWrap w:val="0"/>
            <w:vAlign w:val="top"/>
          </w:tcPr>
          <w:p>
            <w:pPr>
              <w:spacing w:before="171" w:line="232" w:lineRule="auto"/>
              <w:ind w:left="5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约谈情况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76" w:line="254" w:lineRule="auto"/>
              <w:ind w:left="321" w:right="206" w:hanging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培训员工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3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before="226" w:line="198" w:lineRule="auto"/>
              <w:ind w:left="2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企业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before="206" w:line="233" w:lineRule="auto"/>
              <w:ind w:left="1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下级部门</w:t>
            </w:r>
          </w:p>
        </w:tc>
        <w:tc>
          <w:tcPr>
            <w:tcW w:w="16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3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94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3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94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3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94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3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94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3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94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3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942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left"/>
        <w:textAlignment w:val="auto"/>
        <w:rPr>
          <w:rFonts w:hint="eastAsia" w:ascii="仿宋" w:hAnsi="仿宋" w:eastAsia="仿宋" w:cs="仿宋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各乡镇、街道，各部门：                                    统计时间：      年     月    日</w:t>
      </w:r>
    </w:p>
    <w:p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ExNTkwNWM3OTJlYThjZmViYTkzZmZmYjY4MzMifQ=="/>
  </w:docVars>
  <w:rsids>
    <w:rsidRoot w:val="00000000"/>
    <w:rsid w:val="0B673F79"/>
    <w:rsid w:val="10C54ECB"/>
    <w:rsid w:val="12003ECD"/>
    <w:rsid w:val="142F2C38"/>
    <w:rsid w:val="187D749A"/>
    <w:rsid w:val="1E5C14EF"/>
    <w:rsid w:val="6082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table" w:customStyle="1" w:styleId="8">
    <w:name w:val="Table Normal"/>
    <w:autoRedefine/>
    <w:qFormat/>
    <w:uiPriority w:val="0"/>
    <w:rPr>
      <w:rFonts w:ascii="Calibri" w:hAnsi="Calibri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2022-11-08T07:18:00Z</dcterms:created>
  <dc:creator>huayuan</dc:creator>
  <cp:lastModifiedBy>小心点</cp:lastModifiedBy>
  <dcterms:modified xsi:type="dcterms:W3CDTF">2023-12-25T02:40:49Z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31FE0BE90E2C4E4FA911269A4CE15F4B</vt:lpwstr>
  </property>
</Properties>
</file>