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2024 年度民权县“双随机、一公开”跨部门联合抽查计划</w:t>
      </w:r>
    </w:p>
    <w:tbl>
      <w:tblPr>
        <w:tblStyle w:val="3"/>
        <w:tblpPr w:leftFromText="180" w:rightFromText="180" w:vertAnchor="text" w:horzAnchor="page" w:tblpX="1547" w:tblpY="31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1673"/>
        <w:gridCol w:w="1189"/>
        <w:gridCol w:w="636"/>
        <w:gridCol w:w="905"/>
        <w:gridCol w:w="783"/>
        <w:gridCol w:w="582"/>
        <w:gridCol w:w="832"/>
        <w:gridCol w:w="754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2" w:hRule="atLeast"/>
        </w:trPr>
        <w:tc>
          <w:tcPr>
            <w:tcW w:w="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抽查计划名称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抽查任务名称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抽查类型（定向或不定向）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抽查事项类别（一般检查事项或重点检查事项）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抽查对象范围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抽查对象比例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抽查起止时间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发起部门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配合部门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民权县城市综合执法局商丘市生态环境局民权分局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民权县城市综合执法局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商丘市生态环境局民</w:t>
            </w:r>
            <w:r>
              <w:rPr>
                <w:rFonts w:hint="eastAsia"/>
              </w:rPr>
              <w:t>权分局联合抽查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定向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一般检查事项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全县范围内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餐饮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3%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民权县城市综合执法局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商丘市生态环境局民权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民权县城市综合执法局民权县住房和城乡建设局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民权县城市综合执法局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民权县住房和城乡建</w:t>
            </w:r>
            <w:r>
              <w:rPr>
                <w:rFonts w:hint="eastAsia"/>
              </w:rPr>
              <w:t>设局部门联合抽查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定向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一般检查事项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全县范围内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渣土公司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民权县城市综合执法局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民权县住房和城乡建设局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民权县城市综合执法局民权县市场监督管理局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民权县城市综合执法局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民权县市场监督管理局部门</w:t>
            </w:r>
            <w:r>
              <w:rPr>
                <w:rFonts w:hint="eastAsia"/>
              </w:rPr>
              <w:t>联合抽查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定向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一般检查事项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全县范围内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店外经营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3%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民权县城市综合执法局</w:t>
            </w:r>
          </w:p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民权县市场监督管理局</w:t>
            </w:r>
          </w:p>
        </w:tc>
      </w:tr>
    </w:tbl>
    <w:p>
      <w:pPr>
        <w:pStyle w:val="2"/>
        <w:bidi w:val="0"/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NWM2MTg4ODQwZGVmZjMzMDQ5NmI0NjliNmFkYjAifQ=="/>
  </w:docVars>
  <w:rsids>
    <w:rsidRoot w:val="74BA6CDA"/>
    <w:rsid w:val="74B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2024-03-14T00:33:00Z</dcterms:created>
  <dc:creator>Administrator</dc:creator>
  <cp:lastModifiedBy>Administrator</cp:lastModifiedBy>
  <dcterms:modified xsi:type="dcterms:W3CDTF">2024-03-14T00:33:35Z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2A85704665E1453EA89B0C52B818DDD1_11</vt:lpwstr>
  </property>
</Properties>
</file>